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588E5" w14:textId="77777777" w:rsidR="00647FA5" w:rsidRPr="00A26EBE" w:rsidRDefault="00647FA5" w:rsidP="00647FA5">
      <w:pPr>
        <w:tabs>
          <w:tab w:val="left" w:pos="7440"/>
        </w:tabs>
      </w:pPr>
      <w:bookmarkStart w:id="0" w:name="_GoBack"/>
      <w:bookmarkEnd w:id="0"/>
    </w:p>
    <w:p w14:paraId="03EDB527" w14:textId="03166EFB" w:rsidR="00E448C8" w:rsidRPr="00D726EE" w:rsidRDefault="00647FA5" w:rsidP="00DE4E06">
      <w:pPr>
        <w:tabs>
          <w:tab w:val="left" w:pos="7440"/>
        </w:tabs>
        <w:jc w:val="center"/>
        <w:rPr>
          <w:b/>
        </w:rPr>
      </w:pPr>
      <w:r w:rsidRPr="00D726EE">
        <w:rPr>
          <w:b/>
        </w:rPr>
        <w:t>Izziņa</w:t>
      </w:r>
      <w:r w:rsidR="007E19DA" w:rsidRPr="00D726EE">
        <w:rPr>
          <w:b/>
        </w:rPr>
        <w:t xml:space="preserve"> </w:t>
      </w:r>
      <w:r w:rsidR="00033580" w:rsidRPr="00D726EE">
        <w:rPr>
          <w:b/>
          <w:lang w:eastAsia="lv-LV"/>
        </w:rPr>
        <w:t>p</w:t>
      </w:r>
      <w:r w:rsidR="00E448C8" w:rsidRPr="00D726EE">
        <w:rPr>
          <w:b/>
          <w:lang w:eastAsia="lv-LV"/>
        </w:rPr>
        <w:t>ar</w:t>
      </w:r>
      <w:r w:rsidR="00D5672C" w:rsidRPr="00D726EE">
        <w:rPr>
          <w:b/>
          <w:lang w:eastAsia="lv-LV"/>
        </w:rPr>
        <w:t xml:space="preserve"> atzinumos sniegtajiem iebildumiem par </w:t>
      </w:r>
      <w:r w:rsidR="004305B3" w:rsidRPr="00D726EE">
        <w:rPr>
          <w:b/>
        </w:rPr>
        <w:t xml:space="preserve">Ministru kabineta noteikumu </w:t>
      </w:r>
      <w:r w:rsidR="00CC3436" w:rsidRPr="00D726EE">
        <w:rPr>
          <w:b/>
        </w:rPr>
        <w:t xml:space="preserve">projektu </w:t>
      </w:r>
      <w:r w:rsidR="004305B3" w:rsidRPr="00D726EE">
        <w:rPr>
          <w:b/>
        </w:rPr>
        <w:t>“Grozījumi Ministru kabineta 2015.gada 22.septembra noteikumos Nr.537 “Noteikumi par nodokļu maksātāju un nodokļu maksātāju struktūrvienību reģistrāciju Valsts ieņēmumu dienestā””</w:t>
      </w:r>
      <w:r w:rsidR="00133108" w:rsidRPr="00DE4E06">
        <w:rPr>
          <w:b/>
        </w:rPr>
        <w:t xml:space="preserve"> (VSS -497)</w:t>
      </w:r>
      <w:r w:rsidR="00033580" w:rsidRPr="00D726EE">
        <w:rPr>
          <w:b/>
        </w:rPr>
        <w:t xml:space="preserve"> </w:t>
      </w:r>
    </w:p>
    <w:p w14:paraId="514B4A3F" w14:textId="77777777" w:rsidR="00A7068D" w:rsidRPr="003D63C1" w:rsidRDefault="00A7068D" w:rsidP="00A7068D">
      <w:pPr>
        <w:jc w:val="center"/>
        <w:rPr>
          <w:b/>
        </w:rPr>
      </w:pPr>
    </w:p>
    <w:p w14:paraId="506C2BC0" w14:textId="77777777" w:rsidR="00647FA5" w:rsidRPr="003D63C1" w:rsidRDefault="00647FA5" w:rsidP="00DE4E06">
      <w:pPr>
        <w:jc w:val="center"/>
        <w:rPr>
          <w:b/>
          <w:lang w:eastAsia="lv-LV"/>
        </w:rPr>
      </w:pPr>
      <w:r w:rsidRPr="003D63C1">
        <w:rPr>
          <w:b/>
          <w:lang w:eastAsia="lv-LV"/>
        </w:rPr>
        <w:t>I. Jautājumi, par kuriem saskaņošanā vienošanās nav panākta</w:t>
      </w:r>
    </w:p>
    <w:p w14:paraId="60D74EEC" w14:textId="77777777" w:rsidR="00647FA5" w:rsidRPr="003D63C1" w:rsidRDefault="00647FA5" w:rsidP="00647FA5">
      <w:pPr>
        <w:pStyle w:val="naisnod"/>
        <w:spacing w:before="0" w:beforeAutospacing="0" w:after="0" w:afterAutospacing="0"/>
        <w:rPr>
          <w:b/>
        </w:rPr>
      </w:pPr>
    </w:p>
    <w:tbl>
      <w:tblPr>
        <w:tblW w:w="13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2268"/>
        <w:gridCol w:w="3827"/>
        <w:gridCol w:w="3119"/>
        <w:gridCol w:w="1842"/>
        <w:gridCol w:w="1977"/>
      </w:tblGrid>
      <w:tr w:rsidR="00647FA5" w:rsidRPr="003D63C1" w14:paraId="1DC22A08" w14:textId="77777777" w:rsidTr="00271864">
        <w:trPr>
          <w:trHeight w:val="1549"/>
          <w:jc w:val="center"/>
        </w:trPr>
        <w:tc>
          <w:tcPr>
            <w:tcW w:w="596" w:type="dxa"/>
          </w:tcPr>
          <w:p w14:paraId="3EFB9C56" w14:textId="77777777" w:rsidR="00647FA5" w:rsidRPr="003D63C1" w:rsidRDefault="00647FA5" w:rsidP="00E0402D">
            <w:pPr>
              <w:jc w:val="both"/>
            </w:pPr>
            <w:r w:rsidRPr="003D63C1">
              <w:t xml:space="preserve">Nr. </w:t>
            </w:r>
            <w:proofErr w:type="spellStart"/>
            <w:r w:rsidRPr="003D63C1">
              <w:t>p.k</w:t>
            </w:r>
            <w:proofErr w:type="spellEnd"/>
          </w:p>
        </w:tc>
        <w:tc>
          <w:tcPr>
            <w:tcW w:w="2268" w:type="dxa"/>
          </w:tcPr>
          <w:p w14:paraId="55A95899" w14:textId="77777777" w:rsidR="00647FA5" w:rsidRPr="003D63C1" w:rsidRDefault="00647FA5" w:rsidP="00E0402D">
            <w:pPr>
              <w:rPr>
                <w:b/>
              </w:rPr>
            </w:pPr>
            <w:r w:rsidRPr="003D63C1">
              <w:t>Saskaņošanai nosūtītā projekta redakcija (konkrēta punkta (panta) redakcija)</w:t>
            </w:r>
          </w:p>
        </w:tc>
        <w:tc>
          <w:tcPr>
            <w:tcW w:w="3827" w:type="dxa"/>
          </w:tcPr>
          <w:p w14:paraId="5CB8B8C0" w14:textId="77777777" w:rsidR="00647FA5" w:rsidRPr="003D63C1" w:rsidRDefault="00647FA5" w:rsidP="00E0402D">
            <w:pPr>
              <w:jc w:val="both"/>
              <w:rPr>
                <w:b/>
              </w:rPr>
            </w:pPr>
            <w:r w:rsidRPr="003D63C1">
              <w:t xml:space="preserve">Atzinumā norādītais ministrijas (citas institūcijas) iebildums </w:t>
            </w:r>
            <w:r w:rsidRPr="003D63C1">
              <w:rPr>
                <w:lang w:eastAsia="lv-LV"/>
              </w:rPr>
              <w:t>kā arī saskaņošanā papildus izteiktais iebildums par projekta konkrēto punktu (pantu)</w:t>
            </w:r>
          </w:p>
        </w:tc>
        <w:tc>
          <w:tcPr>
            <w:tcW w:w="3119" w:type="dxa"/>
          </w:tcPr>
          <w:p w14:paraId="35948F6B" w14:textId="77777777" w:rsidR="00647FA5" w:rsidRPr="003D63C1" w:rsidRDefault="00647FA5" w:rsidP="00E0402D">
            <w:pPr>
              <w:jc w:val="both"/>
              <w:rPr>
                <w:b/>
              </w:rPr>
            </w:pPr>
            <w:r w:rsidRPr="003D63C1">
              <w:rPr>
                <w:lang w:eastAsia="lv-LV"/>
              </w:rPr>
              <w:t>Atbildīgās ministrijas pamatojums iebilduma noraidījumam</w:t>
            </w:r>
          </w:p>
        </w:tc>
        <w:tc>
          <w:tcPr>
            <w:tcW w:w="1842" w:type="dxa"/>
          </w:tcPr>
          <w:p w14:paraId="1F4EC467" w14:textId="77777777" w:rsidR="00647FA5" w:rsidRPr="003D63C1" w:rsidRDefault="00647FA5" w:rsidP="00E0402D">
            <w:r w:rsidRPr="003D63C1">
              <w:rPr>
                <w:lang w:eastAsia="lv-LV"/>
              </w:rPr>
              <w:t>Atzinuma sniedzēja uzturētais iebildums, ja tas atšķiras no atzinumā norādītā iebilduma pamatojuma</w:t>
            </w:r>
          </w:p>
        </w:tc>
        <w:tc>
          <w:tcPr>
            <w:tcW w:w="1977" w:type="dxa"/>
          </w:tcPr>
          <w:p w14:paraId="2BD176AA" w14:textId="77777777" w:rsidR="00647FA5" w:rsidRPr="003D63C1" w:rsidRDefault="00647FA5" w:rsidP="00E0402D">
            <w:r w:rsidRPr="003D63C1">
              <w:rPr>
                <w:lang w:eastAsia="lv-LV"/>
              </w:rPr>
              <w:t>Projekta attiecīgā punkta (panta) galīgā redakcija</w:t>
            </w:r>
          </w:p>
        </w:tc>
      </w:tr>
      <w:tr w:rsidR="00273922" w:rsidRPr="003D63C1" w14:paraId="687D3CB9" w14:textId="77777777" w:rsidTr="00E76435">
        <w:trPr>
          <w:trHeight w:val="238"/>
          <w:jc w:val="center"/>
        </w:trPr>
        <w:tc>
          <w:tcPr>
            <w:tcW w:w="596" w:type="dxa"/>
            <w:tcBorders>
              <w:top w:val="single" w:sz="4" w:space="0" w:color="auto"/>
              <w:left w:val="single" w:sz="4" w:space="0" w:color="auto"/>
              <w:bottom w:val="single" w:sz="4" w:space="0" w:color="auto"/>
              <w:right w:val="single" w:sz="4" w:space="0" w:color="auto"/>
            </w:tcBorders>
          </w:tcPr>
          <w:p w14:paraId="3CD33951" w14:textId="77777777" w:rsidR="00273922" w:rsidRPr="003D63C1" w:rsidRDefault="00273922" w:rsidP="00E0402D">
            <w:pPr>
              <w:jc w:val="both"/>
            </w:pPr>
          </w:p>
        </w:tc>
        <w:tc>
          <w:tcPr>
            <w:tcW w:w="2268" w:type="dxa"/>
            <w:tcBorders>
              <w:top w:val="single" w:sz="4" w:space="0" w:color="auto"/>
              <w:left w:val="single" w:sz="4" w:space="0" w:color="auto"/>
              <w:bottom w:val="single" w:sz="4" w:space="0" w:color="auto"/>
              <w:right w:val="single" w:sz="4" w:space="0" w:color="auto"/>
            </w:tcBorders>
          </w:tcPr>
          <w:p w14:paraId="0E4AAC0D" w14:textId="77777777" w:rsidR="00273922" w:rsidRPr="003D63C1" w:rsidRDefault="00273922" w:rsidP="00273922"/>
        </w:tc>
        <w:tc>
          <w:tcPr>
            <w:tcW w:w="3827" w:type="dxa"/>
            <w:tcBorders>
              <w:top w:val="single" w:sz="4" w:space="0" w:color="auto"/>
              <w:left w:val="single" w:sz="4" w:space="0" w:color="auto"/>
              <w:bottom w:val="single" w:sz="4" w:space="0" w:color="auto"/>
              <w:right w:val="single" w:sz="4" w:space="0" w:color="auto"/>
            </w:tcBorders>
          </w:tcPr>
          <w:p w14:paraId="61B7171B" w14:textId="77777777" w:rsidR="00273922" w:rsidRPr="003D63C1" w:rsidRDefault="00273922" w:rsidP="007C1C8A">
            <w:pPr>
              <w:jc w:val="both"/>
            </w:pPr>
          </w:p>
        </w:tc>
        <w:tc>
          <w:tcPr>
            <w:tcW w:w="3119" w:type="dxa"/>
            <w:tcBorders>
              <w:top w:val="single" w:sz="4" w:space="0" w:color="auto"/>
              <w:left w:val="single" w:sz="4" w:space="0" w:color="auto"/>
              <w:bottom w:val="single" w:sz="4" w:space="0" w:color="auto"/>
              <w:right w:val="single" w:sz="4" w:space="0" w:color="auto"/>
            </w:tcBorders>
          </w:tcPr>
          <w:p w14:paraId="47FE6357" w14:textId="77777777" w:rsidR="00273922" w:rsidRPr="003D63C1" w:rsidRDefault="00273922" w:rsidP="00AC1AD6">
            <w:pPr>
              <w:jc w:val="both"/>
              <w:rPr>
                <w:b/>
                <w:lang w:eastAsia="lv-LV"/>
              </w:rPr>
            </w:pPr>
          </w:p>
        </w:tc>
        <w:tc>
          <w:tcPr>
            <w:tcW w:w="1842" w:type="dxa"/>
            <w:tcBorders>
              <w:top w:val="single" w:sz="4" w:space="0" w:color="auto"/>
              <w:left w:val="single" w:sz="4" w:space="0" w:color="auto"/>
              <w:bottom w:val="single" w:sz="4" w:space="0" w:color="auto"/>
              <w:right w:val="single" w:sz="4" w:space="0" w:color="auto"/>
            </w:tcBorders>
          </w:tcPr>
          <w:p w14:paraId="0535D61A" w14:textId="77777777" w:rsidR="00273922" w:rsidRPr="003D63C1" w:rsidRDefault="00273922" w:rsidP="00E0402D">
            <w:pPr>
              <w:rPr>
                <w:lang w:eastAsia="lv-LV"/>
              </w:rPr>
            </w:pPr>
          </w:p>
        </w:tc>
        <w:tc>
          <w:tcPr>
            <w:tcW w:w="1977" w:type="dxa"/>
            <w:tcBorders>
              <w:top w:val="single" w:sz="4" w:space="0" w:color="auto"/>
              <w:left w:val="single" w:sz="4" w:space="0" w:color="auto"/>
              <w:bottom w:val="single" w:sz="4" w:space="0" w:color="auto"/>
              <w:right w:val="single" w:sz="4" w:space="0" w:color="auto"/>
            </w:tcBorders>
          </w:tcPr>
          <w:p w14:paraId="7D636095" w14:textId="77777777" w:rsidR="00273922" w:rsidRPr="003D63C1" w:rsidRDefault="00273922" w:rsidP="00E0402D">
            <w:pPr>
              <w:rPr>
                <w:lang w:eastAsia="lv-LV"/>
              </w:rPr>
            </w:pPr>
          </w:p>
        </w:tc>
      </w:tr>
      <w:tr w:rsidR="00346E44" w:rsidRPr="003D63C1" w14:paraId="28CC1AEC" w14:textId="77777777" w:rsidTr="00E76435">
        <w:trPr>
          <w:trHeight w:val="238"/>
          <w:jc w:val="center"/>
        </w:trPr>
        <w:tc>
          <w:tcPr>
            <w:tcW w:w="596" w:type="dxa"/>
            <w:tcBorders>
              <w:top w:val="single" w:sz="4" w:space="0" w:color="auto"/>
              <w:left w:val="single" w:sz="4" w:space="0" w:color="auto"/>
              <w:bottom w:val="single" w:sz="4" w:space="0" w:color="auto"/>
              <w:right w:val="single" w:sz="4" w:space="0" w:color="auto"/>
            </w:tcBorders>
          </w:tcPr>
          <w:p w14:paraId="278F6425" w14:textId="77777777" w:rsidR="00346E44" w:rsidRDefault="00346E44" w:rsidP="00E0402D">
            <w:pPr>
              <w:jc w:val="both"/>
            </w:pPr>
          </w:p>
        </w:tc>
        <w:tc>
          <w:tcPr>
            <w:tcW w:w="2268" w:type="dxa"/>
            <w:tcBorders>
              <w:top w:val="single" w:sz="4" w:space="0" w:color="auto"/>
              <w:left w:val="single" w:sz="4" w:space="0" w:color="auto"/>
              <w:bottom w:val="single" w:sz="4" w:space="0" w:color="auto"/>
              <w:right w:val="single" w:sz="4" w:space="0" w:color="auto"/>
            </w:tcBorders>
          </w:tcPr>
          <w:p w14:paraId="4301983D" w14:textId="77777777" w:rsidR="00346E44" w:rsidRPr="007C1C8A" w:rsidRDefault="00346E44" w:rsidP="001648CD">
            <w:pPr>
              <w:jc w:val="both"/>
            </w:pPr>
          </w:p>
        </w:tc>
        <w:tc>
          <w:tcPr>
            <w:tcW w:w="3827" w:type="dxa"/>
            <w:tcBorders>
              <w:top w:val="single" w:sz="4" w:space="0" w:color="auto"/>
              <w:left w:val="single" w:sz="4" w:space="0" w:color="auto"/>
              <w:bottom w:val="single" w:sz="4" w:space="0" w:color="auto"/>
              <w:right w:val="single" w:sz="4" w:space="0" w:color="auto"/>
            </w:tcBorders>
          </w:tcPr>
          <w:p w14:paraId="2F3A29DD" w14:textId="77777777" w:rsidR="00346E44" w:rsidRDefault="00346E44" w:rsidP="007C1C8A">
            <w:pPr>
              <w:jc w:val="both"/>
            </w:pPr>
          </w:p>
        </w:tc>
        <w:tc>
          <w:tcPr>
            <w:tcW w:w="3119" w:type="dxa"/>
            <w:tcBorders>
              <w:top w:val="single" w:sz="4" w:space="0" w:color="auto"/>
              <w:left w:val="single" w:sz="4" w:space="0" w:color="auto"/>
              <w:bottom w:val="single" w:sz="4" w:space="0" w:color="auto"/>
              <w:right w:val="single" w:sz="4" w:space="0" w:color="auto"/>
            </w:tcBorders>
          </w:tcPr>
          <w:p w14:paraId="6564C49F" w14:textId="77777777" w:rsidR="00346E44" w:rsidRDefault="00346E44" w:rsidP="00AC1AD6">
            <w:pPr>
              <w:jc w:val="both"/>
              <w:rPr>
                <w:b/>
                <w:lang w:eastAsia="lv-LV"/>
              </w:rPr>
            </w:pPr>
          </w:p>
        </w:tc>
        <w:tc>
          <w:tcPr>
            <w:tcW w:w="1842" w:type="dxa"/>
            <w:tcBorders>
              <w:top w:val="single" w:sz="4" w:space="0" w:color="auto"/>
              <w:left w:val="single" w:sz="4" w:space="0" w:color="auto"/>
              <w:bottom w:val="single" w:sz="4" w:space="0" w:color="auto"/>
              <w:right w:val="single" w:sz="4" w:space="0" w:color="auto"/>
            </w:tcBorders>
          </w:tcPr>
          <w:p w14:paraId="65D7F096" w14:textId="77777777" w:rsidR="00346E44" w:rsidRPr="003D63C1" w:rsidRDefault="00346E44" w:rsidP="00E0402D">
            <w:pPr>
              <w:rPr>
                <w:lang w:eastAsia="lv-LV"/>
              </w:rPr>
            </w:pPr>
          </w:p>
        </w:tc>
        <w:tc>
          <w:tcPr>
            <w:tcW w:w="1977" w:type="dxa"/>
            <w:tcBorders>
              <w:top w:val="single" w:sz="4" w:space="0" w:color="auto"/>
              <w:left w:val="single" w:sz="4" w:space="0" w:color="auto"/>
              <w:bottom w:val="single" w:sz="4" w:space="0" w:color="auto"/>
              <w:right w:val="single" w:sz="4" w:space="0" w:color="auto"/>
            </w:tcBorders>
          </w:tcPr>
          <w:p w14:paraId="283588C1" w14:textId="77777777" w:rsidR="00346E44" w:rsidRPr="003D63C1" w:rsidRDefault="00346E44" w:rsidP="00E0402D">
            <w:pPr>
              <w:rPr>
                <w:lang w:eastAsia="lv-LV"/>
              </w:rPr>
            </w:pPr>
          </w:p>
        </w:tc>
      </w:tr>
    </w:tbl>
    <w:p w14:paraId="39319C29" w14:textId="77777777" w:rsidR="00273922" w:rsidRPr="003D63C1" w:rsidRDefault="00273922"/>
    <w:p w14:paraId="3F40B539" w14:textId="77777777" w:rsidR="00647FA5" w:rsidRPr="003D63C1" w:rsidRDefault="00647FA5" w:rsidP="00FC101D">
      <w:pPr>
        <w:pStyle w:val="naiskr"/>
        <w:spacing w:before="0" w:beforeAutospacing="0" w:after="0" w:afterAutospacing="0"/>
      </w:pPr>
      <w:r w:rsidRPr="003D63C1">
        <w:t xml:space="preserve">Informācija par </w:t>
      </w:r>
      <w:proofErr w:type="spellStart"/>
      <w:r w:rsidRPr="003D63C1">
        <w:t>starpministriju</w:t>
      </w:r>
      <w:proofErr w:type="spellEnd"/>
      <w:r w:rsidRPr="003D63C1">
        <w:t xml:space="preserve"> (starpinstitūciju) sanāksmi vai elektronisko saskaņošanu</w:t>
      </w:r>
      <w:r w:rsidR="00CD6443" w:rsidRPr="003D63C1">
        <w:t xml:space="preserve">: </w:t>
      </w:r>
      <w:r w:rsidR="00E82695" w:rsidRPr="003D63C1">
        <w:t xml:space="preserve"> </w:t>
      </w:r>
    </w:p>
    <w:p w14:paraId="30752DDD" w14:textId="77777777" w:rsidR="00647FA5" w:rsidRPr="003D63C1" w:rsidRDefault="00647FA5" w:rsidP="00647FA5">
      <w:pPr>
        <w:jc w:val="right"/>
        <w:rPr>
          <w:b/>
          <w:bCs/>
        </w:rPr>
      </w:pPr>
    </w:p>
    <w:p w14:paraId="5EA11B4D" w14:textId="77777777" w:rsidR="00F775FE" w:rsidRDefault="00F775FE" w:rsidP="000E3451">
      <w:pPr>
        <w:ind w:left="4320" w:hanging="4320"/>
      </w:pPr>
    </w:p>
    <w:p w14:paraId="1A6D4F2E" w14:textId="32ED8F59" w:rsidR="00A15222" w:rsidRPr="00A15222" w:rsidRDefault="00647FA5" w:rsidP="000E3451">
      <w:pPr>
        <w:ind w:left="4320" w:hanging="4320"/>
      </w:pPr>
      <w:r w:rsidRPr="00A15222">
        <w:t xml:space="preserve">Saskaņošanas dalībnieki </w:t>
      </w:r>
      <w:r w:rsidRPr="00A15222">
        <w:tab/>
      </w:r>
      <w:r w:rsidR="00D425E1">
        <w:t xml:space="preserve">Tieslietu ministrija, </w:t>
      </w:r>
      <w:r w:rsidR="00D336C3">
        <w:t xml:space="preserve">Vides aizsardzības un reģionālās attīstības ministrija, </w:t>
      </w:r>
      <w:r w:rsidR="00D425E1">
        <w:t>Valsts kanceleja</w:t>
      </w:r>
      <w:r w:rsidR="00D336C3">
        <w:t>.</w:t>
      </w:r>
    </w:p>
    <w:p w14:paraId="6E834DA8" w14:textId="77777777" w:rsidR="007C0E3D" w:rsidRPr="00A15222" w:rsidRDefault="007C0E3D" w:rsidP="007C0E3D">
      <w:pPr>
        <w:ind w:left="6096" w:hanging="6096"/>
        <w:jc w:val="both"/>
        <w:rPr>
          <w:bCs/>
        </w:rPr>
      </w:pPr>
    </w:p>
    <w:p w14:paraId="3E471DD8" w14:textId="77777777" w:rsidR="00647FA5" w:rsidRPr="00A15222" w:rsidRDefault="00B41237" w:rsidP="007C3673">
      <w:pPr>
        <w:ind w:left="6096" w:hanging="6096"/>
        <w:jc w:val="both"/>
      </w:pPr>
      <w:r w:rsidRPr="00A15222">
        <w:t xml:space="preserve">  </w:t>
      </w:r>
    </w:p>
    <w:p w14:paraId="4950AC07" w14:textId="77777777" w:rsidR="00BF5654" w:rsidRPr="00A15222" w:rsidRDefault="00647FA5" w:rsidP="00B41237">
      <w:pPr>
        <w:tabs>
          <w:tab w:val="left" w:pos="6096"/>
        </w:tabs>
        <w:ind w:left="6096" w:hanging="6096"/>
        <w:jc w:val="both"/>
      </w:pPr>
      <w:r w:rsidRPr="00A15222">
        <w:t>Saskaņošanas dalīb</w:t>
      </w:r>
      <w:r w:rsidR="00950516" w:rsidRPr="00A15222">
        <w:t>nieki izskatīja šādu ministriju</w:t>
      </w:r>
      <w:r w:rsidR="00BF5654" w:rsidRPr="00A15222">
        <w:t xml:space="preserve">(citu institūciju) </w:t>
      </w:r>
    </w:p>
    <w:p w14:paraId="36E46A1A" w14:textId="77777777" w:rsidR="00D336C3" w:rsidRPr="00A15222" w:rsidRDefault="00BF5654" w:rsidP="00D336C3">
      <w:pPr>
        <w:ind w:left="4320" w:hanging="4320"/>
      </w:pPr>
      <w:r w:rsidRPr="00A15222">
        <w:t>iebildumus</w:t>
      </w:r>
      <w:r w:rsidR="00663F12" w:rsidRPr="00A15222">
        <w:t xml:space="preserve">: </w:t>
      </w:r>
      <w:r w:rsidR="00663F12" w:rsidRPr="00A15222">
        <w:tab/>
      </w:r>
    </w:p>
    <w:p w14:paraId="73C72DF3" w14:textId="77777777" w:rsidR="00BF5654" w:rsidRPr="00A15222" w:rsidRDefault="00BF5654" w:rsidP="00BF5654">
      <w:pPr>
        <w:tabs>
          <w:tab w:val="left" w:pos="6096"/>
        </w:tabs>
        <w:ind w:left="6096" w:hanging="6096"/>
        <w:jc w:val="both"/>
      </w:pPr>
    </w:p>
    <w:p w14:paraId="3B3AC08F" w14:textId="77777777" w:rsidR="00647FA5" w:rsidRPr="00A15222" w:rsidRDefault="00647FA5" w:rsidP="00BF5654">
      <w:pPr>
        <w:jc w:val="both"/>
      </w:pPr>
      <w:r w:rsidRPr="00A15222">
        <w:t xml:space="preserve">Ministrijas (citas institūcijas), kuras nav ieradušās uz </w:t>
      </w:r>
    </w:p>
    <w:p w14:paraId="57F9FC66" w14:textId="77777777" w:rsidR="00647FA5" w:rsidRPr="003D63C1" w:rsidRDefault="00647FA5" w:rsidP="00BF5654">
      <w:pPr>
        <w:rPr>
          <w:color w:val="000000"/>
        </w:rPr>
      </w:pPr>
      <w:r w:rsidRPr="00A15222">
        <w:t>sanāksmi vai kuras nav atbildējušas uz uzaicinājumu</w:t>
      </w:r>
      <w:r w:rsidRPr="003D63C1">
        <w:t xml:space="preserve"> </w:t>
      </w:r>
      <w:r w:rsidRPr="003D63C1">
        <w:tab/>
      </w:r>
    </w:p>
    <w:p w14:paraId="2C54B5B7" w14:textId="77777777" w:rsidR="00A15222" w:rsidRDefault="00647FA5" w:rsidP="00117FDE">
      <w:pPr>
        <w:ind w:left="6096" w:hanging="6096"/>
        <w:jc w:val="both"/>
      </w:pPr>
      <w:r w:rsidRPr="003D63C1">
        <w:t xml:space="preserve">piedalīties elektroniskajā saskaņošanā </w:t>
      </w:r>
      <w:r w:rsidR="00B41237" w:rsidRPr="003D63C1">
        <w:t xml:space="preserve">                                  </w:t>
      </w:r>
      <w:r w:rsidR="007C3673" w:rsidRPr="003D63C1">
        <w:t xml:space="preserve">  </w:t>
      </w:r>
    </w:p>
    <w:p w14:paraId="48CBED18" w14:textId="77777777" w:rsidR="00647FA5" w:rsidRPr="003D63C1" w:rsidRDefault="00FA00DD" w:rsidP="00117FDE">
      <w:pPr>
        <w:ind w:left="6096" w:hanging="6096"/>
        <w:jc w:val="both"/>
        <w:rPr>
          <w:bCs/>
        </w:rPr>
      </w:pPr>
      <w:r w:rsidRPr="003D63C1">
        <w:t xml:space="preserve"> </w:t>
      </w:r>
      <w:r w:rsidR="002A1C06" w:rsidRPr="003D63C1">
        <w:t xml:space="preserve"> </w:t>
      </w:r>
    </w:p>
    <w:p w14:paraId="525393B9" w14:textId="77777777" w:rsidR="00647FA5" w:rsidRPr="003D63C1" w:rsidRDefault="00647FA5" w:rsidP="00647FA5">
      <w:pPr>
        <w:jc w:val="both"/>
        <w:rPr>
          <w:bCs/>
        </w:rPr>
      </w:pPr>
      <w:r w:rsidRPr="003D63C1">
        <w:rPr>
          <w:bCs/>
        </w:rPr>
        <w:t>Saskaņošanas dalībnieki izskatīja precizēto Ministru kabineta noteikumu projektu.</w:t>
      </w:r>
    </w:p>
    <w:p w14:paraId="6B571086" w14:textId="77777777" w:rsidR="007C3673" w:rsidRPr="003D63C1" w:rsidRDefault="007C3673" w:rsidP="00647FA5">
      <w:pPr>
        <w:jc w:val="both"/>
        <w:rPr>
          <w:bCs/>
        </w:rPr>
      </w:pPr>
    </w:p>
    <w:p w14:paraId="0621C93D" w14:textId="77777777" w:rsidR="00647FA5" w:rsidRPr="003D63C1" w:rsidRDefault="00647FA5" w:rsidP="00992A69">
      <w:pPr>
        <w:tabs>
          <w:tab w:val="left" w:pos="1890"/>
        </w:tabs>
        <w:ind w:firstLine="720"/>
        <w:jc w:val="center"/>
        <w:rPr>
          <w:b/>
        </w:rPr>
      </w:pPr>
      <w:r w:rsidRPr="003D63C1">
        <w:rPr>
          <w:b/>
        </w:rPr>
        <w:lastRenderedPageBreak/>
        <w:t>II. Jautājumi, par kuriem saskaņošanā vienošanās ir panākta</w:t>
      </w:r>
    </w:p>
    <w:p w14:paraId="5931D3A5" w14:textId="77777777" w:rsidR="00992A69" w:rsidRPr="003D63C1" w:rsidRDefault="00992A69" w:rsidP="00992A69">
      <w:pPr>
        <w:tabs>
          <w:tab w:val="left" w:pos="1890"/>
        </w:tabs>
        <w:ind w:firstLine="720"/>
        <w:jc w:val="center"/>
        <w:rPr>
          <w:b/>
        </w:rPr>
      </w:pPr>
    </w:p>
    <w:tbl>
      <w:tblPr>
        <w:tblpPr w:leftFromText="180" w:rightFromText="180" w:vertAnchor="text" w:tblpXSpec="center" w:tblpY="1"/>
        <w:tblOverlap w:val="never"/>
        <w:tblW w:w="14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3489"/>
        <w:gridCol w:w="4732"/>
        <w:gridCol w:w="2497"/>
        <w:gridCol w:w="2922"/>
      </w:tblGrid>
      <w:tr w:rsidR="00647FA5" w:rsidRPr="003D63C1" w14:paraId="37EDD180" w14:textId="77777777" w:rsidTr="00C44F1C">
        <w:trPr>
          <w:trHeight w:val="2455"/>
        </w:trPr>
        <w:tc>
          <w:tcPr>
            <w:tcW w:w="617" w:type="dxa"/>
          </w:tcPr>
          <w:p w14:paraId="67913A67" w14:textId="77777777" w:rsidR="00647FA5" w:rsidRPr="003D63C1" w:rsidRDefault="00647FA5" w:rsidP="00C44F1C">
            <w:pPr>
              <w:jc w:val="center"/>
            </w:pPr>
            <w:r w:rsidRPr="003D63C1">
              <w:t>Nr. p.k.</w:t>
            </w:r>
          </w:p>
        </w:tc>
        <w:tc>
          <w:tcPr>
            <w:tcW w:w="3489" w:type="dxa"/>
            <w:vAlign w:val="center"/>
          </w:tcPr>
          <w:p w14:paraId="497A7CF9" w14:textId="77777777" w:rsidR="00647FA5" w:rsidRPr="003D63C1" w:rsidRDefault="00647FA5" w:rsidP="00C44F1C">
            <w:pPr>
              <w:jc w:val="center"/>
            </w:pPr>
            <w:r w:rsidRPr="003D63C1">
              <w:t>Saskaņošanai nosūtītā projekta redakcija (konkrēta punkta (panta) redakcija)</w:t>
            </w:r>
          </w:p>
        </w:tc>
        <w:tc>
          <w:tcPr>
            <w:tcW w:w="4732" w:type="dxa"/>
            <w:vAlign w:val="center"/>
          </w:tcPr>
          <w:p w14:paraId="7B194A73" w14:textId="77777777" w:rsidR="00647FA5" w:rsidRPr="003D63C1" w:rsidRDefault="00647FA5" w:rsidP="00C44F1C">
            <w:pPr>
              <w:jc w:val="center"/>
            </w:pPr>
            <w:r w:rsidRPr="003D63C1">
              <w:t>Atzinumā norādītais ministrijas (citas institūcijas) iebildums par projekta konkrēto punktu (pantu)</w:t>
            </w:r>
          </w:p>
        </w:tc>
        <w:tc>
          <w:tcPr>
            <w:tcW w:w="2497" w:type="dxa"/>
            <w:vAlign w:val="center"/>
          </w:tcPr>
          <w:p w14:paraId="144A107F" w14:textId="77777777" w:rsidR="00647FA5" w:rsidRPr="003D63C1" w:rsidRDefault="00647FA5" w:rsidP="00C44F1C">
            <w:pPr>
              <w:jc w:val="center"/>
            </w:pPr>
            <w:r w:rsidRPr="003D63C1">
              <w:t>Ministrijas (citas institūcijas) viedoklis par izteikto iebildumu (attiecīgi norādot, vai iebildums ir ņemts vērā, noraidīts vai panākta vienošanās starpinstitūciju sanāksmē)</w:t>
            </w:r>
          </w:p>
        </w:tc>
        <w:tc>
          <w:tcPr>
            <w:tcW w:w="2922" w:type="dxa"/>
            <w:vAlign w:val="center"/>
          </w:tcPr>
          <w:p w14:paraId="78678F35" w14:textId="77777777" w:rsidR="00647FA5" w:rsidRPr="003D63C1" w:rsidRDefault="00647FA5" w:rsidP="00C44F1C">
            <w:pPr>
              <w:jc w:val="center"/>
            </w:pPr>
            <w:r w:rsidRPr="003D63C1">
              <w:t>Projekta attiecīgā punkta (panta) galīgā redakcija vai atsauce uz starpinstitūciju sanāksmes protokola punktu, kurā ir formulēta attiecīgā punkta (panta) redakcija vai atšķirīgie viedokļi par konkrēto punktu (pantu)</w:t>
            </w:r>
          </w:p>
        </w:tc>
      </w:tr>
      <w:tr w:rsidR="008829E5" w:rsidRPr="00FB30C9" w14:paraId="33AFFA46" w14:textId="77777777" w:rsidTr="00C44F1C">
        <w:trPr>
          <w:trHeight w:val="839"/>
        </w:trPr>
        <w:tc>
          <w:tcPr>
            <w:tcW w:w="617" w:type="dxa"/>
          </w:tcPr>
          <w:p w14:paraId="3894D371" w14:textId="54ECA261" w:rsidR="008829E5" w:rsidRDefault="00CD41BB" w:rsidP="00C44F1C">
            <w:pPr>
              <w:jc w:val="both"/>
            </w:pPr>
            <w:r>
              <w:t>1</w:t>
            </w:r>
            <w:r w:rsidR="006A0275">
              <w:t>.</w:t>
            </w:r>
          </w:p>
        </w:tc>
        <w:tc>
          <w:tcPr>
            <w:tcW w:w="3489" w:type="dxa"/>
          </w:tcPr>
          <w:p w14:paraId="408063D4" w14:textId="278B88AA" w:rsidR="008829E5" w:rsidRDefault="00567EDB" w:rsidP="00C44F1C">
            <w:pPr>
              <w:jc w:val="both"/>
              <w:rPr>
                <w:lang w:eastAsia="lv-LV"/>
              </w:rPr>
            </w:pPr>
            <w:r w:rsidRPr="00567EDB">
              <w:rPr>
                <w:lang w:eastAsia="lv-LV"/>
              </w:rPr>
              <w:t>Ministru kabineta noteikumu projekt</w:t>
            </w:r>
            <w:r w:rsidR="00A966B5">
              <w:rPr>
                <w:lang w:eastAsia="lv-LV"/>
              </w:rPr>
              <w:t>a</w:t>
            </w:r>
            <w:r w:rsidRPr="00567EDB">
              <w:rPr>
                <w:lang w:eastAsia="lv-LV"/>
              </w:rPr>
              <w:t xml:space="preserve"> “Grozījumi Ministru kabineta 2015.gada 22.septembra noteikumos Nr.537 “Noteikumi par nodokļu maksātāju un nodokļu maksātāju struktūrvienību reģistrāciju Valsts ieņēmumu dienestā””  (turpmāk –</w:t>
            </w:r>
            <w:r>
              <w:rPr>
                <w:lang w:eastAsia="lv-LV"/>
              </w:rPr>
              <w:t xml:space="preserve"> n</w:t>
            </w:r>
            <w:r w:rsidR="002802A4">
              <w:rPr>
                <w:lang w:eastAsia="lv-LV"/>
              </w:rPr>
              <w:t>oteikumu projekt</w:t>
            </w:r>
            <w:r>
              <w:rPr>
                <w:lang w:eastAsia="lv-LV"/>
              </w:rPr>
              <w:t>s)</w:t>
            </w:r>
            <w:r w:rsidR="002802A4">
              <w:rPr>
                <w:lang w:eastAsia="lv-LV"/>
              </w:rPr>
              <w:t xml:space="preserve"> 4. un 5.punkts:</w:t>
            </w:r>
          </w:p>
          <w:p w14:paraId="18828453" w14:textId="77777777" w:rsidR="00C70F5C" w:rsidRDefault="00C70F5C" w:rsidP="00C44F1C">
            <w:pPr>
              <w:jc w:val="both"/>
              <w:rPr>
                <w:lang w:eastAsia="lv-LV"/>
              </w:rPr>
            </w:pPr>
          </w:p>
          <w:p w14:paraId="621B227E" w14:textId="77777777" w:rsidR="002802A4" w:rsidRDefault="002802A4" w:rsidP="00C44F1C">
            <w:pPr>
              <w:jc w:val="both"/>
              <w:rPr>
                <w:lang w:eastAsia="lv-LV"/>
              </w:rPr>
            </w:pPr>
            <w:r>
              <w:rPr>
                <w:lang w:eastAsia="lv-LV"/>
              </w:rPr>
              <w:t>“4. Papildināt 17.3.apakšpunktu ar otro teikumu šādā redakcijā:</w:t>
            </w:r>
          </w:p>
          <w:p w14:paraId="46071A68" w14:textId="77777777" w:rsidR="003019C0" w:rsidRDefault="003019C0" w:rsidP="00C44F1C">
            <w:pPr>
              <w:jc w:val="both"/>
              <w:rPr>
                <w:lang w:eastAsia="lv-LV"/>
              </w:rPr>
            </w:pPr>
          </w:p>
          <w:p w14:paraId="198CF16F" w14:textId="77777777" w:rsidR="002802A4" w:rsidRDefault="002802A4" w:rsidP="00C44F1C">
            <w:pPr>
              <w:jc w:val="both"/>
              <w:rPr>
                <w:lang w:eastAsia="lv-LV"/>
              </w:rPr>
            </w:pPr>
            <w:r>
              <w:rPr>
                <w:lang w:eastAsia="lv-LV"/>
              </w:rPr>
              <w:t xml:space="preserve">“Informāciju un dokumentus saistībā ar patiesā labuma guvēja reģistrāciju sniedz Noziedzīgi iegūtu līdzekļu legalizācijas un terorisma un </w:t>
            </w:r>
            <w:proofErr w:type="spellStart"/>
            <w:r>
              <w:rPr>
                <w:lang w:eastAsia="lv-LV"/>
              </w:rPr>
              <w:t>proliferācijas</w:t>
            </w:r>
            <w:proofErr w:type="spellEnd"/>
            <w:r>
              <w:rPr>
                <w:lang w:eastAsia="lv-LV"/>
              </w:rPr>
              <w:t xml:space="preserve"> finansēšanas novēršanas likuma 18.</w:t>
            </w:r>
            <w:r w:rsidRPr="002802A4">
              <w:rPr>
                <w:vertAlign w:val="superscript"/>
                <w:lang w:eastAsia="lv-LV"/>
              </w:rPr>
              <w:t>2</w:t>
            </w:r>
            <w:r>
              <w:rPr>
                <w:lang w:eastAsia="lv-LV"/>
              </w:rPr>
              <w:t xml:space="preserve"> panta pirmajā daļā noteiktajā apjomā un termiņā.”</w:t>
            </w:r>
          </w:p>
          <w:p w14:paraId="4F16E725" w14:textId="4960B1A7" w:rsidR="00C44F1C" w:rsidRDefault="00C44F1C" w:rsidP="00C44F1C">
            <w:pPr>
              <w:jc w:val="both"/>
              <w:rPr>
                <w:lang w:eastAsia="lv-LV"/>
              </w:rPr>
            </w:pPr>
          </w:p>
          <w:p w14:paraId="1D8C3D78" w14:textId="77777777" w:rsidR="002802A4" w:rsidRPr="00C44F1C" w:rsidRDefault="002802A4" w:rsidP="001467CF">
            <w:pPr>
              <w:rPr>
                <w:lang w:eastAsia="lv-LV"/>
              </w:rPr>
            </w:pPr>
          </w:p>
          <w:p w14:paraId="3CAE5CA5" w14:textId="77777777" w:rsidR="002802A4" w:rsidRDefault="002802A4" w:rsidP="00C44F1C">
            <w:pPr>
              <w:jc w:val="both"/>
              <w:rPr>
                <w:lang w:eastAsia="lv-LV"/>
              </w:rPr>
            </w:pPr>
            <w:r>
              <w:rPr>
                <w:lang w:eastAsia="lv-LV"/>
              </w:rPr>
              <w:lastRenderedPageBreak/>
              <w:t>5. Papildināt 19.punktu ar otro teikumu redakcijā:</w:t>
            </w:r>
          </w:p>
          <w:p w14:paraId="0824F67E" w14:textId="77777777" w:rsidR="002802A4" w:rsidRDefault="002802A4" w:rsidP="00C44F1C">
            <w:pPr>
              <w:jc w:val="both"/>
              <w:rPr>
                <w:lang w:eastAsia="lv-LV"/>
              </w:rPr>
            </w:pPr>
          </w:p>
          <w:p w14:paraId="0D10FD5E" w14:textId="77777777" w:rsidR="002802A4" w:rsidRDefault="002802A4" w:rsidP="00C44F1C">
            <w:pPr>
              <w:jc w:val="both"/>
              <w:rPr>
                <w:lang w:eastAsia="lv-LV"/>
              </w:rPr>
            </w:pPr>
            <w:r>
              <w:rPr>
                <w:lang w:eastAsia="lv-LV"/>
              </w:rPr>
              <w:t xml:space="preserve">“Ja mainās šo noteikumu 17.3.apakšpunktā norādītā informācija par patiesajiem labuma guvējiem, persona, ievērojot Noziedzīgi iegūtu līdzekļu legalizācijas un terorisma un </w:t>
            </w:r>
            <w:proofErr w:type="spellStart"/>
            <w:r>
              <w:rPr>
                <w:lang w:eastAsia="lv-LV"/>
              </w:rPr>
              <w:t>proliferācijas</w:t>
            </w:r>
            <w:proofErr w:type="spellEnd"/>
            <w:r>
              <w:rPr>
                <w:lang w:eastAsia="lv-LV"/>
              </w:rPr>
              <w:t xml:space="preserve"> finansēšanas novēršanas likuma 18.</w:t>
            </w:r>
            <w:r w:rsidRPr="002802A4">
              <w:rPr>
                <w:vertAlign w:val="superscript"/>
                <w:lang w:eastAsia="lv-LV"/>
              </w:rPr>
              <w:t>2</w:t>
            </w:r>
            <w:r>
              <w:rPr>
                <w:lang w:eastAsia="lv-LV"/>
              </w:rPr>
              <w:t xml:space="preserve"> pantā noteikto, par to informē nekavējoties, bet ne vēlāk kā 14 dienu laikā Valsts ieņēmumu dienestu, iesniedzot atbilstošu iesniegumu (5.pielikums).””</w:t>
            </w:r>
          </w:p>
        </w:tc>
        <w:tc>
          <w:tcPr>
            <w:tcW w:w="4732" w:type="dxa"/>
          </w:tcPr>
          <w:p w14:paraId="5FD4BE76" w14:textId="77777777" w:rsidR="008829E5" w:rsidRPr="00681987" w:rsidRDefault="00D25C0B" w:rsidP="00C44F1C">
            <w:pPr>
              <w:jc w:val="both"/>
              <w:rPr>
                <w:b/>
              </w:rPr>
            </w:pPr>
            <w:r w:rsidRPr="00681987">
              <w:rPr>
                <w:b/>
              </w:rPr>
              <w:lastRenderedPageBreak/>
              <w:t>Tieslietu ministrija</w:t>
            </w:r>
          </w:p>
          <w:p w14:paraId="7F9BA15C" w14:textId="79807386" w:rsidR="00D25C0B" w:rsidRPr="00681987" w:rsidRDefault="001A3697" w:rsidP="00C44F1C">
            <w:pPr>
              <w:jc w:val="both"/>
            </w:pPr>
            <w:r w:rsidRPr="00681987">
              <w:t xml:space="preserve">Projekta 4. un 5.punktā paredzētos Ministru kabineta 2015.gada 22.septembra noteikumu Nr.537 “Noteikumi par nodokļu maksātāju un nodokļu maksātāju struktūrvienību reģistrāciju Valsts ieņēmumu dienestā”” (turpmāk – noteikumi) 17.3.apakšpunkta un 19.punkta papildinājumus nepieciešams izvērtēt un precizēt. Vēršam uzmanību, ka Noziedzīgi iegūtu līdzekļu legalizācijas un terorisma un </w:t>
            </w:r>
            <w:proofErr w:type="spellStart"/>
            <w:r w:rsidRPr="00681987">
              <w:t>proliferācijas</w:t>
            </w:r>
            <w:proofErr w:type="spellEnd"/>
            <w:r w:rsidRPr="00681987">
              <w:t xml:space="preserve"> finansēšanas novēršanas likuma (turpmāk – NILLTPFNL) 18.</w:t>
            </w:r>
            <w:r w:rsidRPr="001E48F1">
              <w:rPr>
                <w:vertAlign w:val="superscript"/>
              </w:rPr>
              <w:t>2</w:t>
            </w:r>
            <w:r w:rsidR="00142961">
              <w:rPr>
                <w:vertAlign w:val="superscript"/>
              </w:rPr>
              <w:t xml:space="preserve"> </w:t>
            </w:r>
            <w:r w:rsidRPr="00681987">
              <w:t xml:space="preserve">panta pirmajā daļā paredzētā informācijas iesniegšanas kārtības izpilde ir jauns un atšķirīgs no šobrīd noteikumu normās paredzētā uzvedības noteikums, tādējādi arī normas uztveramībai noteikumos par to ir jāveido atsevišķas normas – punkti vai apakšpunkti. Tieslietu ministrijas ieskatā šīs normas var apvienot un izteikt kā vienu </w:t>
            </w:r>
            <w:proofErr w:type="spellStart"/>
            <w:r w:rsidRPr="00681987">
              <w:t>prim</w:t>
            </w:r>
            <w:proofErr w:type="spellEnd"/>
            <w:r w:rsidRPr="00681987">
              <w:t xml:space="preserve"> punktu.</w:t>
            </w:r>
          </w:p>
        </w:tc>
        <w:tc>
          <w:tcPr>
            <w:tcW w:w="2497" w:type="dxa"/>
          </w:tcPr>
          <w:p w14:paraId="108A473A" w14:textId="77777777" w:rsidR="008829E5" w:rsidRPr="00BF06A9" w:rsidRDefault="008A591E" w:rsidP="00C44F1C">
            <w:pPr>
              <w:jc w:val="both"/>
              <w:rPr>
                <w:b/>
                <w:bCs/>
              </w:rPr>
            </w:pPr>
            <w:r w:rsidRPr="008A591E">
              <w:rPr>
                <w:b/>
                <w:bCs/>
              </w:rPr>
              <w:t>Iebildums ņemts vērā.</w:t>
            </w:r>
          </w:p>
        </w:tc>
        <w:tc>
          <w:tcPr>
            <w:tcW w:w="2922" w:type="dxa"/>
          </w:tcPr>
          <w:p w14:paraId="23DB38D7" w14:textId="56D155AF" w:rsidR="00ED65EB" w:rsidRDefault="00ED65EB" w:rsidP="00C44F1C">
            <w:pPr>
              <w:ind w:right="180"/>
              <w:jc w:val="both"/>
              <w:rPr>
                <w:bCs/>
                <w:lang w:eastAsia="lv-LV"/>
              </w:rPr>
            </w:pPr>
            <w:r w:rsidRPr="00ED65EB">
              <w:rPr>
                <w:bCs/>
                <w:lang w:eastAsia="lv-LV"/>
              </w:rPr>
              <w:t>Precizēt</w:t>
            </w:r>
            <w:r w:rsidR="0062667A">
              <w:rPr>
                <w:bCs/>
                <w:lang w:eastAsia="lv-LV"/>
              </w:rPr>
              <w:t>s</w:t>
            </w:r>
            <w:r w:rsidRPr="00ED65EB">
              <w:rPr>
                <w:bCs/>
                <w:lang w:eastAsia="lv-LV"/>
              </w:rPr>
              <w:t xml:space="preserve"> noteikumu projekta </w:t>
            </w:r>
            <w:r>
              <w:rPr>
                <w:bCs/>
                <w:lang w:eastAsia="lv-LV"/>
              </w:rPr>
              <w:t>4</w:t>
            </w:r>
            <w:r w:rsidRPr="00ED65EB">
              <w:rPr>
                <w:bCs/>
                <w:lang w:eastAsia="lv-LV"/>
              </w:rPr>
              <w:t>.punkt</w:t>
            </w:r>
            <w:r w:rsidR="0062667A">
              <w:rPr>
                <w:bCs/>
                <w:lang w:eastAsia="lv-LV"/>
              </w:rPr>
              <w:t>s</w:t>
            </w:r>
            <w:r w:rsidR="008B5C47">
              <w:rPr>
                <w:bCs/>
                <w:lang w:eastAsia="lv-LV"/>
              </w:rPr>
              <w:t xml:space="preserve"> </w:t>
            </w:r>
            <w:r w:rsidR="008B5C47" w:rsidRPr="00E92780">
              <w:rPr>
                <w:bCs/>
                <w:lang w:eastAsia="lv-LV"/>
              </w:rPr>
              <w:t>un izteikts</w:t>
            </w:r>
            <w:r w:rsidRPr="00ED65EB">
              <w:rPr>
                <w:bCs/>
                <w:lang w:eastAsia="lv-LV"/>
              </w:rPr>
              <w:t xml:space="preserve"> šād</w:t>
            </w:r>
            <w:r w:rsidR="0062667A">
              <w:rPr>
                <w:bCs/>
                <w:lang w:eastAsia="lv-LV"/>
              </w:rPr>
              <w:t>ā</w:t>
            </w:r>
            <w:r w:rsidRPr="00ED65EB">
              <w:rPr>
                <w:bCs/>
                <w:lang w:eastAsia="lv-LV"/>
              </w:rPr>
              <w:t xml:space="preserve"> redakcijā:</w:t>
            </w:r>
          </w:p>
          <w:p w14:paraId="2C204F7F" w14:textId="77777777" w:rsidR="00ED65EB" w:rsidRDefault="00ED65EB" w:rsidP="00C44F1C">
            <w:pPr>
              <w:ind w:right="180"/>
              <w:jc w:val="both"/>
              <w:rPr>
                <w:bCs/>
                <w:lang w:eastAsia="lv-LV"/>
              </w:rPr>
            </w:pPr>
          </w:p>
          <w:p w14:paraId="369788AB" w14:textId="77777777" w:rsidR="00775814" w:rsidRDefault="00ED65EB" w:rsidP="00C44F1C">
            <w:pPr>
              <w:shd w:val="clear" w:color="auto" w:fill="FFFFFF"/>
              <w:jc w:val="both"/>
            </w:pPr>
            <w:r>
              <w:rPr>
                <w:bCs/>
                <w:lang w:eastAsia="lv-LV"/>
              </w:rPr>
              <w:t>“</w:t>
            </w:r>
            <w:r w:rsidR="002148A5">
              <w:rPr>
                <w:bCs/>
                <w:lang w:eastAsia="lv-LV"/>
              </w:rPr>
              <w:t xml:space="preserve">4. </w:t>
            </w:r>
            <w:r w:rsidR="00775814" w:rsidRPr="00042BDB">
              <w:t xml:space="preserve">Papildināt noteikumus ar </w:t>
            </w:r>
            <w:r w:rsidR="00775814">
              <w:t>17.</w:t>
            </w:r>
            <w:r w:rsidR="00775814" w:rsidRPr="00042BDB">
              <w:rPr>
                <w:vertAlign w:val="superscript"/>
              </w:rPr>
              <w:t>2</w:t>
            </w:r>
            <w:r w:rsidR="00775814">
              <w:t xml:space="preserve"> </w:t>
            </w:r>
            <w:r w:rsidR="00775814" w:rsidRPr="00042BDB">
              <w:t>punktu šādā redakcijā:</w:t>
            </w:r>
          </w:p>
          <w:p w14:paraId="6E62D871" w14:textId="77777777" w:rsidR="00775814" w:rsidRDefault="00775814" w:rsidP="00C44F1C">
            <w:pPr>
              <w:shd w:val="clear" w:color="auto" w:fill="FFFFFF"/>
              <w:ind w:firstLine="851"/>
              <w:jc w:val="both"/>
            </w:pPr>
          </w:p>
          <w:p w14:paraId="24A58012" w14:textId="481EC9ED" w:rsidR="003F27C4" w:rsidRDefault="00775814" w:rsidP="00C44F1C">
            <w:pPr>
              <w:ind w:right="180"/>
              <w:jc w:val="both"/>
              <w:rPr>
                <w:bCs/>
                <w:lang w:eastAsia="lv-LV"/>
              </w:rPr>
            </w:pPr>
            <w:r w:rsidRPr="00042BDB">
              <w:t>“</w:t>
            </w:r>
            <w:r w:rsidR="000D6F2A" w:rsidRPr="00E92780">
              <w:t>17.</w:t>
            </w:r>
            <w:r w:rsidR="000D6F2A" w:rsidRPr="00E92780">
              <w:rPr>
                <w:vertAlign w:val="superscript"/>
              </w:rPr>
              <w:t>2</w:t>
            </w:r>
            <w:r w:rsidR="000D6F2A">
              <w:t xml:space="preserve"> </w:t>
            </w:r>
            <w:r>
              <w:t>Š</w:t>
            </w:r>
            <w:r w:rsidRPr="00A331BB">
              <w:t xml:space="preserve">o noteikumu 4.2.5.apakšpunktā minētais subjekts, reģistrējoties Valsts ieņēmumu dienestā,  vienlaikus ar reģistrācijas pieteikumu iesniedz Noziedzīgi iegūtu līdzekļu legalizācijas un terorisma un </w:t>
            </w:r>
            <w:proofErr w:type="spellStart"/>
            <w:r w:rsidRPr="00A331BB">
              <w:t>proliferācijas</w:t>
            </w:r>
            <w:proofErr w:type="spellEnd"/>
            <w:r w:rsidRPr="00A331BB">
              <w:t xml:space="preserve"> finansēšanas novēršanas likuma 18.</w:t>
            </w:r>
            <w:r w:rsidRPr="00077F76">
              <w:rPr>
                <w:vertAlign w:val="superscript"/>
              </w:rPr>
              <w:t>1</w:t>
            </w:r>
            <w:r>
              <w:rPr>
                <w:vertAlign w:val="superscript"/>
              </w:rPr>
              <w:t xml:space="preserve"> </w:t>
            </w:r>
            <w:r w:rsidRPr="00A331BB">
              <w:t>panta ceturtajā daļā noteikto informāciju un dokumentus par patiesaj</w:t>
            </w:r>
            <w:r>
              <w:t xml:space="preserve">iem labuma guvējiem, aizpildot </w:t>
            </w:r>
            <w:r>
              <w:lastRenderedPageBreak/>
              <w:t>N</w:t>
            </w:r>
            <w:r w:rsidRPr="00A331BB">
              <w:t xml:space="preserve">odokļu maksātāja </w:t>
            </w:r>
            <w:r>
              <w:t xml:space="preserve">(cita subjekta) </w:t>
            </w:r>
            <w:r w:rsidRPr="00A331BB">
              <w:t>reģistrācijas lapu (2.pielikums).</w:t>
            </w:r>
            <w:r>
              <w:t xml:space="preserve"> </w:t>
            </w:r>
            <w:r w:rsidRPr="003E3763">
              <w:t>Valsts ieņēmumu dienestā</w:t>
            </w:r>
            <w:r>
              <w:t xml:space="preserve"> </w:t>
            </w:r>
            <w:r w:rsidRPr="003E3763">
              <w:t>reģistrēt</w:t>
            </w:r>
            <w:r>
              <w:t>ai</w:t>
            </w:r>
            <w:r w:rsidRPr="003E3763">
              <w:t>s</w:t>
            </w:r>
            <w:r>
              <w:t xml:space="preserve"> š</w:t>
            </w:r>
            <w:r w:rsidRPr="001C1AE1">
              <w:t>o noteikumu 4.2.5.apakšpunktā minētais subjekts</w:t>
            </w:r>
            <w:r>
              <w:t xml:space="preserve"> </w:t>
            </w:r>
            <w:r w:rsidRPr="00204D8A">
              <w:t xml:space="preserve">Noziedzīgi iegūtu līdzekļu legalizācijas un terorisma un </w:t>
            </w:r>
            <w:proofErr w:type="spellStart"/>
            <w:r w:rsidRPr="00204D8A">
              <w:t>proliferācijas</w:t>
            </w:r>
            <w:proofErr w:type="spellEnd"/>
            <w:r w:rsidRPr="00204D8A">
              <w:t xml:space="preserve"> finansēšanas novēršanas likuma 18.</w:t>
            </w:r>
            <w:r w:rsidRPr="00F8525E">
              <w:rPr>
                <w:vertAlign w:val="superscript"/>
              </w:rPr>
              <w:t>1</w:t>
            </w:r>
            <w:r w:rsidRPr="00204D8A">
              <w:t>panta ceturtajā daļā noteikto informāciju</w:t>
            </w:r>
            <w:r>
              <w:t xml:space="preserve"> un dokumentus par patiesajiem labuma guvējiem</w:t>
            </w:r>
            <w:r w:rsidRPr="00042BDB" w:rsidDel="001C1AE1">
              <w:t xml:space="preserve"> </w:t>
            </w:r>
            <w:r>
              <w:t xml:space="preserve">iesniedz Valsts ieņēmumu dienestam </w:t>
            </w:r>
            <w:r w:rsidRPr="008E164B">
              <w:t xml:space="preserve">Noziedzīgi iegūtu līdzekļu legalizācijas un terorisma un </w:t>
            </w:r>
            <w:proofErr w:type="spellStart"/>
            <w:r w:rsidRPr="008E164B">
              <w:t>proliferācijas</w:t>
            </w:r>
            <w:proofErr w:type="spellEnd"/>
            <w:r w:rsidRPr="008E164B">
              <w:t xml:space="preserve"> finansēšanas novēršanas likuma</w:t>
            </w:r>
            <w:r>
              <w:t xml:space="preserve"> </w:t>
            </w:r>
            <w:r w:rsidRPr="00042BDB">
              <w:t>18.</w:t>
            </w:r>
            <w:r w:rsidRPr="00042BDB">
              <w:rPr>
                <w:vertAlign w:val="superscript"/>
              </w:rPr>
              <w:t>2</w:t>
            </w:r>
            <w:r>
              <w:rPr>
                <w:vertAlign w:val="superscript"/>
              </w:rPr>
              <w:t xml:space="preserve"> </w:t>
            </w:r>
            <w:r w:rsidRPr="00042BDB">
              <w:t>pant</w:t>
            </w:r>
            <w:r>
              <w:t>a pirmajā daļā</w:t>
            </w:r>
            <w:r w:rsidRPr="00042BDB">
              <w:t xml:space="preserve"> noteikt</w:t>
            </w:r>
            <w:r>
              <w:t xml:space="preserve">ajā termiņā, aizpildot </w:t>
            </w:r>
            <w:r w:rsidRPr="0068305A">
              <w:t>Nodokļu maksātāja (cita subjekta) ziņojumu par izmaiņām reģistrācijas lap</w:t>
            </w:r>
            <w:r>
              <w:t>ā</w:t>
            </w:r>
            <w:r w:rsidRPr="0068305A">
              <w:t xml:space="preserve"> (5.pielikums)</w:t>
            </w:r>
            <w:r>
              <w:t>. G</w:t>
            </w:r>
            <w:r w:rsidRPr="00221A06">
              <w:t>adījum</w:t>
            </w:r>
            <w:r>
              <w:t>ā</w:t>
            </w:r>
            <w:r w:rsidRPr="00221A06">
              <w:t xml:space="preserve">, </w:t>
            </w:r>
            <w:r>
              <w:t>ja</w:t>
            </w:r>
            <w:r w:rsidRPr="00221A06">
              <w:t xml:space="preserve"> mainās </w:t>
            </w:r>
            <w:r>
              <w:t xml:space="preserve">Valsts ieņēmumu dienestam </w:t>
            </w:r>
            <w:r w:rsidRPr="00221A06">
              <w:t>sniegt</w:t>
            </w:r>
            <w:r>
              <w:t>ā</w:t>
            </w:r>
            <w:r w:rsidRPr="00221A06">
              <w:t xml:space="preserve"> informācija par patiesajiem labuma guvējiem</w:t>
            </w:r>
            <w:r>
              <w:t>, š</w:t>
            </w:r>
            <w:r w:rsidRPr="001C1AE1">
              <w:t xml:space="preserve">o noteikumu 4.2.5.apakšpunktā </w:t>
            </w:r>
            <w:r w:rsidRPr="001C1AE1">
              <w:lastRenderedPageBreak/>
              <w:t>minētais subjekts</w:t>
            </w:r>
            <w:r>
              <w:t xml:space="preserve"> aktuālo informāciju sniedz</w:t>
            </w:r>
            <w:r w:rsidRPr="00207B47">
              <w:t xml:space="preserve"> </w:t>
            </w:r>
            <w:r>
              <w:t>Valsts ieņēmumu dienestam</w:t>
            </w:r>
            <w:r w:rsidRPr="00207B47">
              <w:t xml:space="preserve"> </w:t>
            </w:r>
            <w:r w:rsidRPr="008E164B">
              <w:t xml:space="preserve">Noziedzīgi iegūtu līdzekļu legalizācijas un terorisma un </w:t>
            </w:r>
            <w:proofErr w:type="spellStart"/>
            <w:r w:rsidRPr="008E164B">
              <w:t>proliferācijas</w:t>
            </w:r>
            <w:proofErr w:type="spellEnd"/>
            <w:r w:rsidRPr="008E164B">
              <w:t xml:space="preserve"> finansēšanas novēršanas likuma</w:t>
            </w:r>
            <w:r>
              <w:t xml:space="preserve"> </w:t>
            </w:r>
            <w:r w:rsidRPr="00042BDB">
              <w:t>18.</w:t>
            </w:r>
            <w:r w:rsidRPr="00042BDB">
              <w:rPr>
                <w:vertAlign w:val="superscript"/>
              </w:rPr>
              <w:t>2</w:t>
            </w:r>
            <w:r>
              <w:rPr>
                <w:vertAlign w:val="superscript"/>
              </w:rPr>
              <w:t xml:space="preserve"> </w:t>
            </w:r>
            <w:r w:rsidRPr="00042BDB">
              <w:t>pant</w:t>
            </w:r>
            <w:r>
              <w:t>a pirmajā daļā</w:t>
            </w:r>
            <w:r w:rsidRPr="00042BDB">
              <w:t xml:space="preserve"> noteikt</w:t>
            </w:r>
            <w:r>
              <w:t>ajā termiņā,</w:t>
            </w:r>
            <w:r w:rsidRPr="00577506">
              <w:t xml:space="preserve"> </w:t>
            </w:r>
            <w:r>
              <w:t xml:space="preserve">aizpildot </w:t>
            </w:r>
            <w:r w:rsidRPr="0068305A">
              <w:t>Nodokļu maksātāja (cita subjekta) ziņojumu par izmaiņām reģistrācijas lap</w:t>
            </w:r>
            <w:r>
              <w:t>ā</w:t>
            </w:r>
            <w:r w:rsidRPr="0068305A">
              <w:t xml:space="preserve"> (5.pielikums)</w:t>
            </w:r>
            <w:r w:rsidRPr="00221A06">
              <w:t>.</w:t>
            </w:r>
            <w:r w:rsidR="003C4A09">
              <w:t>”</w:t>
            </w:r>
            <w:r w:rsidRPr="00221A06">
              <w:t xml:space="preserve"> </w:t>
            </w:r>
          </w:p>
          <w:p w14:paraId="60356B07" w14:textId="77777777" w:rsidR="00E92780" w:rsidRDefault="00E92780" w:rsidP="00C44F1C">
            <w:pPr>
              <w:ind w:right="180"/>
              <w:jc w:val="both"/>
              <w:rPr>
                <w:bCs/>
                <w:lang w:eastAsia="lv-LV"/>
              </w:rPr>
            </w:pPr>
          </w:p>
          <w:p w14:paraId="7C2F0A6D" w14:textId="093D4906" w:rsidR="003F27C4" w:rsidRPr="00FB30C9" w:rsidRDefault="003F27C4" w:rsidP="000D6F2A">
            <w:pPr>
              <w:ind w:right="180"/>
              <w:jc w:val="both"/>
              <w:rPr>
                <w:bCs/>
                <w:lang w:eastAsia="lv-LV"/>
              </w:rPr>
            </w:pPr>
            <w:r w:rsidRPr="003F27C4">
              <w:rPr>
                <w:bCs/>
                <w:lang w:eastAsia="lv-LV"/>
              </w:rPr>
              <w:t>Svītrot</w:t>
            </w:r>
            <w:r w:rsidR="00ED69D7">
              <w:rPr>
                <w:bCs/>
                <w:lang w:eastAsia="lv-LV"/>
              </w:rPr>
              <w:t>s</w:t>
            </w:r>
            <w:r w:rsidRPr="003F27C4">
              <w:rPr>
                <w:bCs/>
                <w:lang w:eastAsia="lv-LV"/>
              </w:rPr>
              <w:t xml:space="preserve"> noteikumu projekta </w:t>
            </w:r>
            <w:r>
              <w:rPr>
                <w:bCs/>
                <w:lang w:eastAsia="lv-LV"/>
              </w:rPr>
              <w:t>5</w:t>
            </w:r>
            <w:r w:rsidRPr="003F27C4">
              <w:rPr>
                <w:bCs/>
                <w:lang w:eastAsia="lv-LV"/>
              </w:rPr>
              <w:t>.punkt</w:t>
            </w:r>
            <w:r w:rsidR="00ED69D7">
              <w:rPr>
                <w:bCs/>
                <w:lang w:eastAsia="lv-LV"/>
              </w:rPr>
              <w:t>s</w:t>
            </w:r>
            <w:r w:rsidR="000D6F2A">
              <w:rPr>
                <w:bCs/>
                <w:lang w:eastAsia="lv-LV"/>
              </w:rPr>
              <w:t xml:space="preserve"> </w:t>
            </w:r>
            <w:r w:rsidR="00CD3706" w:rsidRPr="00E92780">
              <w:rPr>
                <w:bCs/>
                <w:lang w:eastAsia="lv-LV"/>
              </w:rPr>
              <w:t>(attiecībā</w:t>
            </w:r>
            <w:r w:rsidR="000D6F2A" w:rsidRPr="00E92780">
              <w:rPr>
                <w:bCs/>
                <w:lang w:eastAsia="lv-LV"/>
              </w:rPr>
              <w:t xml:space="preserve"> uz noteikumu </w:t>
            </w:r>
            <w:r w:rsidR="000D6F2A" w:rsidRPr="00E92780">
              <w:rPr>
                <w:lang w:eastAsia="lv-LV"/>
              </w:rPr>
              <w:t>19.punkta papildināšanu ar otro teikumu)</w:t>
            </w:r>
            <w:r w:rsidR="00DA729C" w:rsidRPr="00E92780">
              <w:rPr>
                <w:bCs/>
                <w:lang w:eastAsia="lv-LV"/>
              </w:rPr>
              <w:t>.</w:t>
            </w:r>
          </w:p>
        </w:tc>
      </w:tr>
      <w:tr w:rsidR="008829E5" w:rsidRPr="00FB30C9" w14:paraId="47A3A71D" w14:textId="77777777" w:rsidTr="00C44F1C">
        <w:trPr>
          <w:trHeight w:val="839"/>
        </w:trPr>
        <w:tc>
          <w:tcPr>
            <w:tcW w:w="617" w:type="dxa"/>
          </w:tcPr>
          <w:p w14:paraId="012120E2" w14:textId="5FBCDD7D" w:rsidR="008829E5" w:rsidRDefault="00CD41BB" w:rsidP="00C44F1C">
            <w:pPr>
              <w:jc w:val="both"/>
            </w:pPr>
            <w:r>
              <w:lastRenderedPageBreak/>
              <w:t>2</w:t>
            </w:r>
            <w:r w:rsidR="001A3697">
              <w:t>.</w:t>
            </w:r>
          </w:p>
        </w:tc>
        <w:tc>
          <w:tcPr>
            <w:tcW w:w="3489" w:type="dxa"/>
          </w:tcPr>
          <w:p w14:paraId="6EF71C38" w14:textId="77777777" w:rsidR="00C70F5C" w:rsidRDefault="00C70F5C" w:rsidP="00C44F1C">
            <w:pPr>
              <w:jc w:val="both"/>
              <w:rPr>
                <w:lang w:eastAsia="lv-LV"/>
              </w:rPr>
            </w:pPr>
            <w:r>
              <w:rPr>
                <w:lang w:eastAsia="lv-LV"/>
              </w:rPr>
              <w:t>Noteikumu projekta 8. punkts:</w:t>
            </w:r>
          </w:p>
          <w:p w14:paraId="1902914D" w14:textId="77777777" w:rsidR="00C70F5C" w:rsidRDefault="00C70F5C" w:rsidP="00C44F1C">
            <w:pPr>
              <w:jc w:val="both"/>
              <w:rPr>
                <w:lang w:eastAsia="lv-LV"/>
              </w:rPr>
            </w:pPr>
          </w:p>
          <w:p w14:paraId="128CE6DB" w14:textId="77777777" w:rsidR="00C70F5C" w:rsidRDefault="00C70F5C" w:rsidP="00C44F1C">
            <w:pPr>
              <w:jc w:val="both"/>
              <w:rPr>
                <w:lang w:eastAsia="lv-LV"/>
              </w:rPr>
            </w:pPr>
            <w:r>
              <w:rPr>
                <w:lang w:eastAsia="lv-LV"/>
              </w:rPr>
              <w:t>“8. Papildināt noteikumus ar 27.11.apakšpunktu šādā redakcijā:</w:t>
            </w:r>
          </w:p>
          <w:p w14:paraId="428115A8" w14:textId="77777777" w:rsidR="00C70F5C" w:rsidRDefault="00C70F5C" w:rsidP="00C44F1C">
            <w:pPr>
              <w:jc w:val="both"/>
              <w:rPr>
                <w:lang w:eastAsia="lv-LV"/>
              </w:rPr>
            </w:pPr>
          </w:p>
          <w:p w14:paraId="6D28AD6A" w14:textId="77777777" w:rsidR="008829E5" w:rsidRDefault="00C70F5C" w:rsidP="00C44F1C">
            <w:pPr>
              <w:jc w:val="both"/>
              <w:rPr>
                <w:lang w:eastAsia="lv-LV"/>
              </w:rPr>
            </w:pPr>
            <w:r>
              <w:rPr>
                <w:lang w:eastAsia="lv-LV"/>
              </w:rPr>
              <w:t xml:space="preserve">“27.11. informāciju par šo noteikumu 4.2.5.apakšpunktā minēto subjektu  patiesajiem labuma guvējiem Noziedzīgi iegūtu līdzekļu legalizācijas un terorisma un </w:t>
            </w:r>
            <w:proofErr w:type="spellStart"/>
            <w:r>
              <w:rPr>
                <w:lang w:eastAsia="lv-LV"/>
              </w:rPr>
              <w:t>proliferācijas</w:t>
            </w:r>
            <w:proofErr w:type="spellEnd"/>
            <w:r>
              <w:rPr>
                <w:lang w:eastAsia="lv-LV"/>
              </w:rPr>
              <w:t xml:space="preserve"> finansēšanas novēršanas likuma </w:t>
            </w:r>
            <w:r>
              <w:rPr>
                <w:lang w:eastAsia="lv-LV"/>
              </w:rPr>
              <w:lastRenderedPageBreak/>
              <w:t>18.</w:t>
            </w:r>
            <w:r w:rsidRPr="00FF305C">
              <w:rPr>
                <w:vertAlign w:val="superscript"/>
                <w:lang w:eastAsia="lv-LV"/>
              </w:rPr>
              <w:t>2</w:t>
            </w:r>
            <w:r>
              <w:rPr>
                <w:lang w:eastAsia="lv-LV"/>
              </w:rPr>
              <w:t xml:space="preserve"> panta pirmajā daļā noteiktajā apjomā.”</w:t>
            </w:r>
            <w:r w:rsidR="00895AD0">
              <w:rPr>
                <w:lang w:eastAsia="lv-LV"/>
              </w:rPr>
              <w:t>”</w:t>
            </w:r>
          </w:p>
        </w:tc>
        <w:tc>
          <w:tcPr>
            <w:tcW w:w="4732" w:type="dxa"/>
          </w:tcPr>
          <w:p w14:paraId="4C919E1D" w14:textId="77777777" w:rsidR="008829E5" w:rsidRPr="00933B20" w:rsidRDefault="00184328" w:rsidP="00C44F1C">
            <w:pPr>
              <w:jc w:val="both"/>
              <w:rPr>
                <w:b/>
              </w:rPr>
            </w:pPr>
            <w:r w:rsidRPr="00933B20">
              <w:rPr>
                <w:b/>
              </w:rPr>
              <w:lastRenderedPageBreak/>
              <w:t>Tieslietu ministrija</w:t>
            </w:r>
          </w:p>
          <w:p w14:paraId="096B99E0" w14:textId="356B82FE" w:rsidR="00184328" w:rsidRPr="00933B20" w:rsidRDefault="00E12F13" w:rsidP="00C44F1C">
            <w:pPr>
              <w:jc w:val="both"/>
            </w:pPr>
            <w:r w:rsidRPr="00933B20">
              <w:t>Projekta 8.punktā paredzēto noteikumu 27.11.apakšpunktu par iesniedzamo informāciju par patiesajiem labuma guvējiem nepieciešams precizēt, jo šo informācijas apjomu paredz NILLTPFNL 18.</w:t>
            </w:r>
            <w:r w:rsidRPr="00933B20">
              <w:rPr>
                <w:vertAlign w:val="superscript"/>
              </w:rPr>
              <w:t>1</w:t>
            </w:r>
            <w:r w:rsidRPr="00933B20">
              <w:t>panta ceturtā daļa. Savukārt NILLTPFNL 18.</w:t>
            </w:r>
            <w:r w:rsidRPr="00933B20">
              <w:rPr>
                <w:vertAlign w:val="superscript"/>
              </w:rPr>
              <w:t>2</w:t>
            </w:r>
            <w:r w:rsidRPr="00933B20">
              <w:t>panta pirmā daļa paredz informācijas iesniegšanas kārtību (procedūru).</w:t>
            </w:r>
          </w:p>
        </w:tc>
        <w:tc>
          <w:tcPr>
            <w:tcW w:w="2497" w:type="dxa"/>
          </w:tcPr>
          <w:p w14:paraId="7FFAE9F5" w14:textId="77777777" w:rsidR="008829E5" w:rsidRPr="00BF06A9" w:rsidRDefault="00881F0A" w:rsidP="00C44F1C">
            <w:pPr>
              <w:jc w:val="both"/>
              <w:rPr>
                <w:b/>
                <w:bCs/>
              </w:rPr>
            </w:pPr>
            <w:r w:rsidRPr="00881F0A">
              <w:rPr>
                <w:b/>
                <w:bCs/>
              </w:rPr>
              <w:t>Iebildums ņemts vērā.</w:t>
            </w:r>
          </w:p>
        </w:tc>
        <w:tc>
          <w:tcPr>
            <w:tcW w:w="2922" w:type="dxa"/>
          </w:tcPr>
          <w:p w14:paraId="57EE5610" w14:textId="19B15E95" w:rsidR="00A055A2" w:rsidRPr="00E92780" w:rsidRDefault="00A055A2" w:rsidP="00C44F1C">
            <w:pPr>
              <w:ind w:right="180"/>
              <w:jc w:val="both"/>
              <w:rPr>
                <w:bCs/>
                <w:lang w:eastAsia="lv-LV"/>
              </w:rPr>
            </w:pPr>
            <w:r>
              <w:rPr>
                <w:bCs/>
                <w:lang w:eastAsia="lv-LV"/>
              </w:rPr>
              <w:t>Precizēt</w:t>
            </w:r>
            <w:r w:rsidR="00ED69D7">
              <w:rPr>
                <w:bCs/>
                <w:lang w:eastAsia="lv-LV"/>
              </w:rPr>
              <w:t>s</w:t>
            </w:r>
            <w:r>
              <w:rPr>
                <w:bCs/>
                <w:lang w:eastAsia="lv-LV"/>
              </w:rPr>
              <w:t xml:space="preserve"> noteikumu projekta </w:t>
            </w:r>
            <w:r w:rsidR="000D6F2A" w:rsidRPr="00E92780">
              <w:rPr>
                <w:bCs/>
                <w:lang w:eastAsia="lv-LV"/>
              </w:rPr>
              <w:t>9</w:t>
            </w:r>
            <w:r w:rsidRPr="00E92780">
              <w:rPr>
                <w:bCs/>
                <w:lang w:eastAsia="lv-LV"/>
              </w:rPr>
              <w:t>.punkt</w:t>
            </w:r>
            <w:r w:rsidR="00ED69D7" w:rsidRPr="00E92780">
              <w:rPr>
                <w:bCs/>
                <w:lang w:eastAsia="lv-LV"/>
              </w:rPr>
              <w:t>s</w:t>
            </w:r>
            <w:r w:rsidR="008B5C47" w:rsidRPr="00E92780">
              <w:rPr>
                <w:bCs/>
                <w:lang w:eastAsia="lv-LV"/>
              </w:rPr>
              <w:t xml:space="preserve"> un izteikts</w:t>
            </w:r>
            <w:r w:rsidRPr="00E92780">
              <w:rPr>
                <w:bCs/>
                <w:lang w:eastAsia="lv-LV"/>
              </w:rPr>
              <w:t xml:space="preserve"> šād</w:t>
            </w:r>
            <w:r w:rsidR="00ED69D7" w:rsidRPr="00E92780">
              <w:rPr>
                <w:bCs/>
                <w:lang w:eastAsia="lv-LV"/>
              </w:rPr>
              <w:t>ā</w:t>
            </w:r>
            <w:r w:rsidRPr="00E92780">
              <w:rPr>
                <w:bCs/>
                <w:lang w:eastAsia="lv-LV"/>
              </w:rPr>
              <w:t xml:space="preserve"> redakcijā:</w:t>
            </w:r>
          </w:p>
          <w:p w14:paraId="6D68799A" w14:textId="77777777" w:rsidR="002A2E52" w:rsidRPr="00E92780" w:rsidRDefault="002A2E52" w:rsidP="00C44F1C">
            <w:pPr>
              <w:ind w:right="180"/>
              <w:jc w:val="both"/>
              <w:rPr>
                <w:bCs/>
                <w:lang w:eastAsia="lv-LV"/>
              </w:rPr>
            </w:pPr>
          </w:p>
          <w:p w14:paraId="5C0E0852" w14:textId="7ECA68AA" w:rsidR="002A2E52" w:rsidRPr="002A2E52" w:rsidRDefault="002A2E52" w:rsidP="00C44F1C">
            <w:pPr>
              <w:ind w:right="180"/>
              <w:jc w:val="both"/>
              <w:rPr>
                <w:bCs/>
                <w:lang w:eastAsia="lv-LV"/>
              </w:rPr>
            </w:pPr>
            <w:r w:rsidRPr="00E92780">
              <w:rPr>
                <w:bCs/>
                <w:lang w:eastAsia="lv-LV"/>
              </w:rPr>
              <w:t>“</w:t>
            </w:r>
            <w:r w:rsidR="000D6F2A" w:rsidRPr="00E92780">
              <w:rPr>
                <w:bCs/>
                <w:lang w:eastAsia="lv-LV"/>
              </w:rPr>
              <w:t>9</w:t>
            </w:r>
            <w:r w:rsidRPr="00E92780">
              <w:rPr>
                <w:bCs/>
                <w:lang w:eastAsia="lv-LV"/>
              </w:rPr>
              <w:t>.</w:t>
            </w:r>
            <w:r w:rsidRPr="002A2E52">
              <w:rPr>
                <w:bCs/>
                <w:lang w:eastAsia="lv-LV"/>
              </w:rPr>
              <w:t xml:space="preserve"> Papildināt noteikumus ar 27.11.apakšpunktu šādā redakcijā:</w:t>
            </w:r>
          </w:p>
          <w:p w14:paraId="216229E7" w14:textId="77777777" w:rsidR="002A2E52" w:rsidRPr="002A2E52" w:rsidRDefault="002A2E52" w:rsidP="00C44F1C">
            <w:pPr>
              <w:ind w:right="180"/>
              <w:jc w:val="both"/>
              <w:rPr>
                <w:bCs/>
                <w:lang w:eastAsia="lv-LV"/>
              </w:rPr>
            </w:pPr>
          </w:p>
          <w:p w14:paraId="4DEE3CE9" w14:textId="0A64572F" w:rsidR="00A055A2" w:rsidRPr="00FB30C9" w:rsidRDefault="002A2E52" w:rsidP="00C44F1C">
            <w:pPr>
              <w:ind w:right="180"/>
              <w:jc w:val="both"/>
              <w:rPr>
                <w:bCs/>
                <w:lang w:eastAsia="lv-LV"/>
              </w:rPr>
            </w:pPr>
            <w:r w:rsidRPr="002A2E52">
              <w:rPr>
                <w:bCs/>
                <w:lang w:eastAsia="lv-LV"/>
              </w:rPr>
              <w:t xml:space="preserve">“27.11. informāciju par šo noteikumu 4.2.5.apakšpunktā minēto subjektu patiesajiem labuma guvējiem Noziedzīgi iegūtu līdzekļu </w:t>
            </w:r>
            <w:r w:rsidRPr="002A2E52">
              <w:rPr>
                <w:bCs/>
                <w:lang w:eastAsia="lv-LV"/>
              </w:rPr>
              <w:lastRenderedPageBreak/>
              <w:t xml:space="preserve">legalizācijas un terorisma un </w:t>
            </w:r>
            <w:proofErr w:type="spellStart"/>
            <w:r w:rsidRPr="002A2E52">
              <w:rPr>
                <w:bCs/>
                <w:lang w:eastAsia="lv-LV"/>
              </w:rPr>
              <w:t>proliferācijas</w:t>
            </w:r>
            <w:proofErr w:type="spellEnd"/>
            <w:r w:rsidRPr="002A2E52">
              <w:rPr>
                <w:bCs/>
                <w:lang w:eastAsia="lv-LV"/>
              </w:rPr>
              <w:t xml:space="preserve"> finansēšanas novēršanas likuma 18.</w:t>
            </w:r>
            <w:r w:rsidRPr="002A2E52">
              <w:rPr>
                <w:bCs/>
                <w:vertAlign w:val="superscript"/>
                <w:lang w:eastAsia="lv-LV"/>
              </w:rPr>
              <w:t>1</w:t>
            </w:r>
            <w:r w:rsidR="00732BD4">
              <w:rPr>
                <w:bCs/>
                <w:vertAlign w:val="superscript"/>
                <w:lang w:eastAsia="lv-LV"/>
              </w:rPr>
              <w:t xml:space="preserve"> </w:t>
            </w:r>
            <w:r w:rsidRPr="002A2E52">
              <w:rPr>
                <w:bCs/>
                <w:lang w:eastAsia="lv-LV"/>
              </w:rPr>
              <w:t>panta ceturtajā daļā noteiktajā apjomā.”</w:t>
            </w:r>
            <w:r w:rsidR="00616874">
              <w:rPr>
                <w:bCs/>
                <w:lang w:eastAsia="lv-LV"/>
              </w:rPr>
              <w:t>”</w:t>
            </w:r>
          </w:p>
        </w:tc>
      </w:tr>
      <w:tr w:rsidR="008829E5" w:rsidRPr="00FB30C9" w14:paraId="48C67CE3" w14:textId="77777777" w:rsidTr="00C44F1C">
        <w:trPr>
          <w:trHeight w:val="839"/>
        </w:trPr>
        <w:tc>
          <w:tcPr>
            <w:tcW w:w="617" w:type="dxa"/>
          </w:tcPr>
          <w:p w14:paraId="6C4ECFA9" w14:textId="317CD711" w:rsidR="008829E5" w:rsidRDefault="00CD41BB" w:rsidP="00C44F1C">
            <w:pPr>
              <w:jc w:val="both"/>
            </w:pPr>
            <w:r>
              <w:lastRenderedPageBreak/>
              <w:t>3</w:t>
            </w:r>
            <w:r w:rsidR="00536788">
              <w:t>.</w:t>
            </w:r>
          </w:p>
        </w:tc>
        <w:tc>
          <w:tcPr>
            <w:tcW w:w="3489" w:type="dxa"/>
          </w:tcPr>
          <w:p w14:paraId="26817537" w14:textId="77777777" w:rsidR="008829E5" w:rsidRDefault="00260D56" w:rsidP="00C44F1C">
            <w:pPr>
              <w:jc w:val="both"/>
              <w:rPr>
                <w:lang w:eastAsia="lv-LV"/>
              </w:rPr>
            </w:pPr>
            <w:r>
              <w:rPr>
                <w:lang w:eastAsia="lv-LV"/>
              </w:rPr>
              <w:t>Noteikumu projekta 9.punkts:</w:t>
            </w:r>
          </w:p>
          <w:p w14:paraId="4F7A8B55" w14:textId="77777777" w:rsidR="00826F73" w:rsidRDefault="00826F73" w:rsidP="00C44F1C">
            <w:pPr>
              <w:jc w:val="both"/>
              <w:rPr>
                <w:lang w:eastAsia="lv-LV"/>
              </w:rPr>
            </w:pPr>
          </w:p>
          <w:p w14:paraId="2B40193E" w14:textId="77777777" w:rsidR="00826F73" w:rsidRDefault="00826F73" w:rsidP="00C44F1C">
            <w:pPr>
              <w:jc w:val="both"/>
              <w:rPr>
                <w:lang w:eastAsia="lv-LV"/>
              </w:rPr>
            </w:pPr>
            <w:r>
              <w:rPr>
                <w:lang w:eastAsia="lv-LV"/>
              </w:rPr>
              <w:t>“9. Papildināt noteikumus ar 28.3.apakšpunktu šādā redakcijā:</w:t>
            </w:r>
          </w:p>
          <w:p w14:paraId="55151F70" w14:textId="77777777" w:rsidR="00826F73" w:rsidRDefault="00826F73" w:rsidP="00C44F1C">
            <w:pPr>
              <w:jc w:val="both"/>
              <w:rPr>
                <w:lang w:eastAsia="lv-LV"/>
              </w:rPr>
            </w:pPr>
          </w:p>
          <w:p w14:paraId="2663E335" w14:textId="77777777" w:rsidR="00260D56" w:rsidRDefault="00826F73" w:rsidP="00C44F1C">
            <w:pPr>
              <w:jc w:val="both"/>
              <w:rPr>
                <w:lang w:eastAsia="lv-LV"/>
              </w:rPr>
            </w:pPr>
            <w:r>
              <w:rPr>
                <w:lang w:eastAsia="lv-LV"/>
              </w:rPr>
              <w:t xml:space="preserve">“28.3. šo noteikumu 4.2.5.apakšpunktā minētais subjekts, kas reģistrēts līdz 2020.gada 1.jūlijam, nav iesniedzis informāciju Valsts ieņēmumu dienestam par to patiesajiem labuma guvējiem Noziedzīgi iegūtu līdzekļu legalizācijas un terorisma un </w:t>
            </w:r>
            <w:proofErr w:type="spellStart"/>
            <w:r>
              <w:rPr>
                <w:lang w:eastAsia="lv-LV"/>
              </w:rPr>
              <w:t>proliferācijas</w:t>
            </w:r>
            <w:proofErr w:type="spellEnd"/>
            <w:r>
              <w:rPr>
                <w:lang w:eastAsia="lv-LV"/>
              </w:rPr>
              <w:t xml:space="preserve"> finansēšanas novēršanas likuma pārejas noteikumu 48.punkta noteiktajā termiņā.”</w:t>
            </w:r>
            <w:r w:rsidR="00895AD0">
              <w:rPr>
                <w:lang w:eastAsia="lv-LV"/>
              </w:rPr>
              <w:t>”</w:t>
            </w:r>
          </w:p>
        </w:tc>
        <w:tc>
          <w:tcPr>
            <w:tcW w:w="4732" w:type="dxa"/>
          </w:tcPr>
          <w:p w14:paraId="611021B9" w14:textId="27DFA78E" w:rsidR="008829E5" w:rsidRPr="00826F73" w:rsidRDefault="00536788" w:rsidP="00C44F1C">
            <w:pPr>
              <w:jc w:val="both"/>
              <w:rPr>
                <w:b/>
              </w:rPr>
            </w:pPr>
            <w:r w:rsidRPr="00826F73">
              <w:rPr>
                <w:b/>
              </w:rPr>
              <w:t>Tieslietu minist</w:t>
            </w:r>
            <w:r w:rsidR="00732BD4">
              <w:rPr>
                <w:b/>
              </w:rPr>
              <w:t>r</w:t>
            </w:r>
            <w:r w:rsidRPr="00826F73">
              <w:rPr>
                <w:b/>
              </w:rPr>
              <w:t>ija</w:t>
            </w:r>
          </w:p>
          <w:p w14:paraId="42EA9C42" w14:textId="1AC34E3F" w:rsidR="00536788" w:rsidRPr="00536788" w:rsidRDefault="00536788" w:rsidP="00C44F1C">
            <w:pPr>
              <w:jc w:val="both"/>
              <w:rPr>
                <w:highlight w:val="yellow"/>
              </w:rPr>
            </w:pPr>
            <w:r w:rsidRPr="00826F73">
              <w:t>Projekta 9.punktā paredzēto noteikumu 28.3.apakšpunktu par noteikumu 4.2.5.apakšpunktā minēto subjektu izslēgšanu no reģistra nepieciešams svītrot, jo to nosaka NILLTPFNL pārejas noteikumu 48.punkts un minētais regulējums jāpiemēro tieši. Ministru kabineta noteikumos nav pieļaujama likumā noteiktā regulējuma dublēšana. Vienlaikus norādām, ka izslēgšana no reģistra pēc valsts pārvaldes iniciatīvas ir interpretējama kā privātpersonai nelabvēlīgs administratīvais akts, kas ir pieļaujams saskaņā ar Administratīvā procesa likuma 11. pantā noteikto likuma atrunas principu, bet šāds likuma pilnvarojums noteikumu izdošanai nav paredzēts.</w:t>
            </w:r>
          </w:p>
        </w:tc>
        <w:tc>
          <w:tcPr>
            <w:tcW w:w="2497" w:type="dxa"/>
          </w:tcPr>
          <w:p w14:paraId="3D7978F4" w14:textId="77777777" w:rsidR="008829E5" w:rsidRPr="00BF06A9" w:rsidRDefault="00CC791A" w:rsidP="00C44F1C">
            <w:pPr>
              <w:jc w:val="both"/>
              <w:rPr>
                <w:b/>
                <w:bCs/>
              </w:rPr>
            </w:pPr>
            <w:r w:rsidRPr="00CC791A">
              <w:rPr>
                <w:b/>
                <w:bCs/>
              </w:rPr>
              <w:t>Iebildums ņemts vērā.</w:t>
            </w:r>
          </w:p>
        </w:tc>
        <w:tc>
          <w:tcPr>
            <w:tcW w:w="2922" w:type="dxa"/>
          </w:tcPr>
          <w:p w14:paraId="7821EE78" w14:textId="4FB7A13C" w:rsidR="008829E5" w:rsidRPr="00FB30C9" w:rsidRDefault="003C77B0" w:rsidP="008B5C47">
            <w:pPr>
              <w:ind w:right="180"/>
              <w:jc w:val="both"/>
              <w:rPr>
                <w:bCs/>
                <w:lang w:eastAsia="lv-LV"/>
              </w:rPr>
            </w:pPr>
            <w:r>
              <w:rPr>
                <w:bCs/>
                <w:lang w:eastAsia="lv-LV"/>
              </w:rPr>
              <w:t>Svītrot</w:t>
            </w:r>
            <w:r w:rsidR="00ED69D7">
              <w:rPr>
                <w:bCs/>
                <w:lang w:eastAsia="lv-LV"/>
              </w:rPr>
              <w:t>s</w:t>
            </w:r>
            <w:r>
              <w:rPr>
                <w:bCs/>
                <w:lang w:eastAsia="lv-LV"/>
              </w:rPr>
              <w:t xml:space="preserve"> </w:t>
            </w:r>
            <w:r w:rsidRPr="003C77B0">
              <w:rPr>
                <w:bCs/>
                <w:lang w:eastAsia="lv-LV"/>
              </w:rPr>
              <w:t xml:space="preserve">noteikumu projekta </w:t>
            </w:r>
            <w:r>
              <w:rPr>
                <w:bCs/>
                <w:lang w:eastAsia="lv-LV"/>
              </w:rPr>
              <w:t>9.punkt</w:t>
            </w:r>
            <w:r w:rsidR="00ED69D7">
              <w:rPr>
                <w:bCs/>
                <w:lang w:eastAsia="lv-LV"/>
              </w:rPr>
              <w:t>s</w:t>
            </w:r>
            <w:r w:rsidR="008B5C47">
              <w:rPr>
                <w:lang w:eastAsia="lv-LV"/>
              </w:rPr>
              <w:t xml:space="preserve"> </w:t>
            </w:r>
            <w:r w:rsidR="008B5C47" w:rsidRPr="00E92780">
              <w:rPr>
                <w:lang w:eastAsia="lv-LV"/>
              </w:rPr>
              <w:t>(attiecībā uz  noteikumu papildināšanu ar 28.3.apakšpunktu)</w:t>
            </w:r>
            <w:r w:rsidR="009A2611" w:rsidRPr="00E92780">
              <w:rPr>
                <w:bCs/>
                <w:lang w:eastAsia="lv-LV"/>
              </w:rPr>
              <w:t>.</w:t>
            </w:r>
          </w:p>
        </w:tc>
      </w:tr>
      <w:tr w:rsidR="008829E5" w:rsidRPr="00FB30C9" w14:paraId="1E0EE997" w14:textId="77777777" w:rsidTr="00C44F1C">
        <w:trPr>
          <w:trHeight w:val="839"/>
        </w:trPr>
        <w:tc>
          <w:tcPr>
            <w:tcW w:w="617" w:type="dxa"/>
          </w:tcPr>
          <w:p w14:paraId="01B1DDB8" w14:textId="6DA94321" w:rsidR="008829E5" w:rsidRDefault="00CD41BB" w:rsidP="00C44F1C">
            <w:pPr>
              <w:jc w:val="both"/>
            </w:pPr>
            <w:r>
              <w:t>4</w:t>
            </w:r>
            <w:r w:rsidR="006624BB">
              <w:t>.</w:t>
            </w:r>
          </w:p>
        </w:tc>
        <w:tc>
          <w:tcPr>
            <w:tcW w:w="3489" w:type="dxa"/>
          </w:tcPr>
          <w:p w14:paraId="1F9399BD" w14:textId="77777777" w:rsidR="008829E5" w:rsidRDefault="006F06DA" w:rsidP="00C44F1C">
            <w:pPr>
              <w:jc w:val="both"/>
              <w:rPr>
                <w:lang w:eastAsia="lv-LV"/>
              </w:rPr>
            </w:pPr>
            <w:r>
              <w:rPr>
                <w:lang w:eastAsia="lv-LV"/>
              </w:rPr>
              <w:t>Noteikumu projekta 10.punkts:</w:t>
            </w:r>
          </w:p>
          <w:p w14:paraId="7C7D9C7C" w14:textId="77777777" w:rsidR="006F06DA" w:rsidRDefault="006F06DA" w:rsidP="00C44F1C">
            <w:pPr>
              <w:jc w:val="both"/>
              <w:rPr>
                <w:lang w:eastAsia="lv-LV"/>
              </w:rPr>
            </w:pPr>
          </w:p>
          <w:p w14:paraId="79E9340F" w14:textId="77777777" w:rsidR="006F06DA" w:rsidRDefault="006F06DA" w:rsidP="00C44F1C">
            <w:pPr>
              <w:jc w:val="both"/>
              <w:rPr>
                <w:lang w:eastAsia="lv-LV"/>
              </w:rPr>
            </w:pPr>
            <w:r>
              <w:rPr>
                <w:lang w:eastAsia="lv-LV"/>
              </w:rPr>
              <w:t>“10. Papildināt noslēguma jautājumus ar 35.punktu šādā redakcijā:</w:t>
            </w:r>
          </w:p>
          <w:p w14:paraId="027F1CC3" w14:textId="77777777" w:rsidR="006F06DA" w:rsidRDefault="006F06DA" w:rsidP="00C44F1C">
            <w:pPr>
              <w:jc w:val="both"/>
              <w:rPr>
                <w:lang w:eastAsia="lv-LV"/>
              </w:rPr>
            </w:pPr>
          </w:p>
          <w:p w14:paraId="617F1B50" w14:textId="77777777" w:rsidR="006F06DA" w:rsidRDefault="006F06DA" w:rsidP="00C44F1C">
            <w:pPr>
              <w:jc w:val="both"/>
              <w:rPr>
                <w:lang w:eastAsia="lv-LV"/>
              </w:rPr>
            </w:pPr>
            <w:r>
              <w:rPr>
                <w:lang w:eastAsia="lv-LV"/>
              </w:rPr>
              <w:t xml:space="preserve">“35. Šo noteikumu 4.2.5.apakšpunktā minētais subjekts, kas reģistrēts Valsts ieņēmumu dienestā līdz 2020.gada 1.jūlijam, informāciju </w:t>
            </w:r>
            <w:r>
              <w:rPr>
                <w:lang w:eastAsia="lv-LV"/>
              </w:rPr>
              <w:lastRenderedPageBreak/>
              <w:t>Valsts ieņēmumu dienestam par to patiesajiem labuma guvējiem iesniedz, aizpildot atbilstošu iesniegumu (5.pielikums).”</w:t>
            </w:r>
            <w:r w:rsidR="007A314C">
              <w:rPr>
                <w:lang w:eastAsia="lv-LV"/>
              </w:rPr>
              <w:t>”</w:t>
            </w:r>
          </w:p>
        </w:tc>
        <w:tc>
          <w:tcPr>
            <w:tcW w:w="4732" w:type="dxa"/>
          </w:tcPr>
          <w:p w14:paraId="6447A7ED" w14:textId="77777777" w:rsidR="008829E5" w:rsidRPr="001D52BF" w:rsidRDefault="006624BB" w:rsidP="00C44F1C">
            <w:pPr>
              <w:jc w:val="both"/>
              <w:rPr>
                <w:b/>
              </w:rPr>
            </w:pPr>
            <w:r w:rsidRPr="001D52BF">
              <w:rPr>
                <w:b/>
              </w:rPr>
              <w:lastRenderedPageBreak/>
              <w:t>Tieslietu ministrija</w:t>
            </w:r>
          </w:p>
          <w:p w14:paraId="2C02141A" w14:textId="79CA865F" w:rsidR="006624BB" w:rsidRPr="00145DAC" w:rsidRDefault="00145DAC" w:rsidP="00C44F1C">
            <w:pPr>
              <w:jc w:val="both"/>
              <w:rPr>
                <w:highlight w:val="yellow"/>
              </w:rPr>
            </w:pPr>
            <w:r w:rsidRPr="001D52BF">
              <w:t xml:space="preserve">Projekta 10.punktā piedāvāto noteikumu 35.punktu par noteikumu 5.pielikumā paredzētā iesnieguma iesniegšanu nepieciešams svītrot, jo tā ir patstāvīgi, jebkurā gadījumā izpildāma prasība, nevis noteikumu noslēguma jautājumos iekļaujams pārejas regulējums. Tādējādi regulējums par informācijas iesniegšanas veidu jānosaka pamata regulējumā, proti, šobrīd projekta 5.punktā paredzētais grozījums noteikumu </w:t>
            </w:r>
            <w:r w:rsidRPr="001D52BF">
              <w:lastRenderedPageBreak/>
              <w:t>19.punktā ir jāizsaka ar tādu vispārinājuma pakāpi, lai būtu piemērojams jebkurā informācijas iesniegšanas gadījumā, ne tikai pārejas posmā.</w:t>
            </w:r>
          </w:p>
        </w:tc>
        <w:tc>
          <w:tcPr>
            <w:tcW w:w="2497" w:type="dxa"/>
          </w:tcPr>
          <w:p w14:paraId="66C9FD96" w14:textId="77777777" w:rsidR="008829E5" w:rsidRPr="00BF06A9" w:rsidRDefault="001D52BF" w:rsidP="00C44F1C">
            <w:pPr>
              <w:jc w:val="both"/>
              <w:rPr>
                <w:b/>
                <w:bCs/>
              </w:rPr>
            </w:pPr>
            <w:r w:rsidRPr="001D52BF">
              <w:rPr>
                <w:b/>
                <w:bCs/>
              </w:rPr>
              <w:lastRenderedPageBreak/>
              <w:t>Iebildums ņemts vērā.</w:t>
            </w:r>
          </w:p>
        </w:tc>
        <w:tc>
          <w:tcPr>
            <w:tcW w:w="2922" w:type="dxa"/>
          </w:tcPr>
          <w:p w14:paraId="6E126305" w14:textId="109FD163" w:rsidR="008829E5" w:rsidRPr="00E92780" w:rsidRDefault="0011578A" w:rsidP="00C44F1C">
            <w:pPr>
              <w:ind w:right="180"/>
              <w:jc w:val="both"/>
              <w:rPr>
                <w:bCs/>
                <w:lang w:eastAsia="lv-LV"/>
              </w:rPr>
            </w:pPr>
            <w:r w:rsidRPr="0011578A">
              <w:rPr>
                <w:bCs/>
                <w:lang w:eastAsia="lv-LV"/>
              </w:rPr>
              <w:t>Svītrot</w:t>
            </w:r>
            <w:r w:rsidR="00ED69D7">
              <w:rPr>
                <w:bCs/>
                <w:lang w:eastAsia="lv-LV"/>
              </w:rPr>
              <w:t>s</w:t>
            </w:r>
            <w:r w:rsidRPr="0011578A">
              <w:rPr>
                <w:bCs/>
                <w:lang w:eastAsia="lv-LV"/>
              </w:rPr>
              <w:t xml:space="preserve"> noteikumu projekta </w:t>
            </w:r>
            <w:r>
              <w:rPr>
                <w:bCs/>
                <w:lang w:eastAsia="lv-LV"/>
              </w:rPr>
              <w:t>10</w:t>
            </w:r>
            <w:r w:rsidRPr="0011578A">
              <w:rPr>
                <w:bCs/>
                <w:lang w:eastAsia="lv-LV"/>
              </w:rPr>
              <w:t>. punkt</w:t>
            </w:r>
            <w:r w:rsidR="00ED69D7">
              <w:rPr>
                <w:bCs/>
                <w:lang w:eastAsia="lv-LV"/>
              </w:rPr>
              <w:t>s</w:t>
            </w:r>
            <w:r w:rsidR="008B5C47">
              <w:rPr>
                <w:lang w:eastAsia="lv-LV"/>
              </w:rPr>
              <w:t xml:space="preserve"> </w:t>
            </w:r>
            <w:r w:rsidR="008B5C47" w:rsidRPr="00E92780">
              <w:rPr>
                <w:lang w:eastAsia="lv-LV"/>
              </w:rPr>
              <w:t>(attiecībā uz noteikumu noslēguma jautājumu  papildināšanu ar 35.punktu)</w:t>
            </w:r>
            <w:r w:rsidRPr="00E92780">
              <w:rPr>
                <w:bCs/>
                <w:lang w:eastAsia="lv-LV"/>
              </w:rPr>
              <w:t>.</w:t>
            </w:r>
          </w:p>
          <w:p w14:paraId="526D9680" w14:textId="77777777" w:rsidR="004A367D" w:rsidRPr="00E92780" w:rsidRDefault="004A367D" w:rsidP="00C44F1C">
            <w:pPr>
              <w:ind w:right="180"/>
              <w:jc w:val="both"/>
              <w:rPr>
                <w:bCs/>
                <w:lang w:eastAsia="lv-LV"/>
              </w:rPr>
            </w:pPr>
          </w:p>
          <w:p w14:paraId="513384B1" w14:textId="04A83151" w:rsidR="008744F6" w:rsidRPr="008744F6" w:rsidRDefault="008744F6" w:rsidP="00C44F1C">
            <w:pPr>
              <w:ind w:right="180"/>
              <w:jc w:val="both"/>
              <w:rPr>
                <w:bCs/>
                <w:lang w:eastAsia="lv-LV"/>
              </w:rPr>
            </w:pPr>
            <w:r w:rsidRPr="00E92780">
              <w:rPr>
                <w:bCs/>
                <w:lang w:eastAsia="lv-LV"/>
              </w:rPr>
              <w:t>Precizēt</w:t>
            </w:r>
            <w:r w:rsidR="00ED69D7" w:rsidRPr="00E92780">
              <w:rPr>
                <w:bCs/>
                <w:lang w:eastAsia="lv-LV"/>
              </w:rPr>
              <w:t>s</w:t>
            </w:r>
            <w:r w:rsidRPr="00E92780">
              <w:rPr>
                <w:bCs/>
                <w:lang w:eastAsia="lv-LV"/>
              </w:rPr>
              <w:t xml:space="preserve"> noteikumu projekta 4.punkt</w:t>
            </w:r>
            <w:r w:rsidR="00ED69D7" w:rsidRPr="00E92780">
              <w:rPr>
                <w:bCs/>
                <w:lang w:eastAsia="lv-LV"/>
              </w:rPr>
              <w:t>s</w:t>
            </w:r>
            <w:r w:rsidR="008B5C47" w:rsidRPr="00E92780">
              <w:rPr>
                <w:bCs/>
                <w:lang w:eastAsia="lv-LV"/>
              </w:rPr>
              <w:t xml:space="preserve"> un izteikts</w:t>
            </w:r>
            <w:r w:rsidRPr="00E92780">
              <w:rPr>
                <w:bCs/>
                <w:lang w:eastAsia="lv-LV"/>
              </w:rPr>
              <w:t xml:space="preserve"> šād</w:t>
            </w:r>
            <w:r w:rsidR="00ED69D7" w:rsidRPr="00E92780">
              <w:rPr>
                <w:bCs/>
                <w:lang w:eastAsia="lv-LV"/>
              </w:rPr>
              <w:t>ā</w:t>
            </w:r>
            <w:r w:rsidRPr="00E92780">
              <w:rPr>
                <w:bCs/>
                <w:lang w:eastAsia="lv-LV"/>
              </w:rPr>
              <w:t xml:space="preserve"> redakcijā:</w:t>
            </w:r>
          </w:p>
          <w:p w14:paraId="40764C1F" w14:textId="77777777" w:rsidR="008744F6" w:rsidRPr="008744F6" w:rsidRDefault="008744F6" w:rsidP="00C44F1C">
            <w:pPr>
              <w:ind w:right="180"/>
              <w:jc w:val="both"/>
              <w:rPr>
                <w:bCs/>
                <w:lang w:eastAsia="lv-LV"/>
              </w:rPr>
            </w:pPr>
          </w:p>
          <w:p w14:paraId="2410EF77" w14:textId="77777777" w:rsidR="009010DA" w:rsidRDefault="008744F6" w:rsidP="00C44F1C">
            <w:pPr>
              <w:shd w:val="clear" w:color="auto" w:fill="FFFFFF"/>
              <w:jc w:val="both"/>
            </w:pPr>
            <w:r w:rsidRPr="008744F6">
              <w:rPr>
                <w:bCs/>
                <w:lang w:eastAsia="lv-LV"/>
              </w:rPr>
              <w:lastRenderedPageBreak/>
              <w:t xml:space="preserve">“4. </w:t>
            </w:r>
            <w:r w:rsidR="009010DA" w:rsidRPr="00042BDB">
              <w:t xml:space="preserve">Papildināt noteikumus ar </w:t>
            </w:r>
            <w:r w:rsidR="009010DA">
              <w:t>17.</w:t>
            </w:r>
            <w:r w:rsidR="009010DA" w:rsidRPr="00042BDB">
              <w:rPr>
                <w:vertAlign w:val="superscript"/>
              </w:rPr>
              <w:t>2</w:t>
            </w:r>
            <w:r w:rsidR="009010DA">
              <w:t xml:space="preserve"> </w:t>
            </w:r>
            <w:r w:rsidR="009010DA" w:rsidRPr="00042BDB">
              <w:t>punktu šādā redakcijā:</w:t>
            </w:r>
          </w:p>
          <w:p w14:paraId="38BF6BBE" w14:textId="77777777" w:rsidR="009010DA" w:rsidRDefault="009010DA" w:rsidP="00C44F1C">
            <w:pPr>
              <w:shd w:val="clear" w:color="auto" w:fill="FFFFFF"/>
              <w:ind w:firstLine="851"/>
              <w:jc w:val="both"/>
            </w:pPr>
          </w:p>
          <w:p w14:paraId="07BCE065" w14:textId="4E79A936" w:rsidR="000078FB" w:rsidRPr="00E92780" w:rsidRDefault="009010DA" w:rsidP="00C44F1C">
            <w:pPr>
              <w:ind w:right="180"/>
              <w:jc w:val="both"/>
              <w:rPr>
                <w:bCs/>
                <w:strike/>
                <w:lang w:eastAsia="lv-LV"/>
              </w:rPr>
            </w:pPr>
            <w:r w:rsidRPr="00042BDB">
              <w:t>“</w:t>
            </w:r>
            <w:r w:rsidR="008B5C47" w:rsidRPr="00E92780">
              <w:t>17.</w:t>
            </w:r>
            <w:r w:rsidR="008B5C47" w:rsidRPr="00E92780">
              <w:rPr>
                <w:vertAlign w:val="superscript"/>
              </w:rPr>
              <w:t>2</w:t>
            </w:r>
            <w:r w:rsidR="008B5C47">
              <w:t xml:space="preserve"> </w:t>
            </w:r>
            <w:r>
              <w:t>Š</w:t>
            </w:r>
            <w:r w:rsidRPr="00A331BB">
              <w:t xml:space="preserve">o noteikumu 4.2.5.apakšpunktā minētais subjekts, reģistrējoties Valsts ieņēmumu dienestā,  vienlaikus ar reģistrācijas pieteikumu iesniedz Noziedzīgi iegūtu līdzekļu legalizācijas un terorisma un </w:t>
            </w:r>
            <w:proofErr w:type="spellStart"/>
            <w:r w:rsidRPr="00A331BB">
              <w:t>proliferācijas</w:t>
            </w:r>
            <w:proofErr w:type="spellEnd"/>
            <w:r w:rsidRPr="00A331BB">
              <w:t xml:space="preserve"> finansēšanas novēršanas likuma 18.</w:t>
            </w:r>
            <w:r w:rsidRPr="00077F76">
              <w:rPr>
                <w:vertAlign w:val="superscript"/>
              </w:rPr>
              <w:t>1</w:t>
            </w:r>
            <w:r>
              <w:rPr>
                <w:vertAlign w:val="superscript"/>
              </w:rPr>
              <w:t xml:space="preserve"> </w:t>
            </w:r>
            <w:r w:rsidRPr="00A331BB">
              <w:t>panta ceturtajā daļā noteikto informāciju un dokumentus par patiesaj</w:t>
            </w:r>
            <w:r>
              <w:t>iem labuma guvējiem, aizpildot N</w:t>
            </w:r>
            <w:r w:rsidRPr="00A331BB">
              <w:t xml:space="preserve">odokļu maksātāja </w:t>
            </w:r>
            <w:r>
              <w:t xml:space="preserve">(cita subjekta) </w:t>
            </w:r>
            <w:r w:rsidRPr="00A331BB">
              <w:t>reģistrācijas lapu (2.pielikums).</w:t>
            </w:r>
            <w:r>
              <w:t xml:space="preserve"> </w:t>
            </w:r>
            <w:r w:rsidRPr="003E3763">
              <w:t>Valsts ieņēmumu dienestā</w:t>
            </w:r>
            <w:r>
              <w:t xml:space="preserve"> </w:t>
            </w:r>
            <w:r w:rsidRPr="003E3763">
              <w:t>reģistrēt</w:t>
            </w:r>
            <w:r>
              <w:t>ai</w:t>
            </w:r>
            <w:r w:rsidRPr="003E3763">
              <w:t>s</w:t>
            </w:r>
            <w:r>
              <w:t xml:space="preserve"> š</w:t>
            </w:r>
            <w:r w:rsidRPr="001C1AE1">
              <w:t>o noteikumu 4.2.5.apakšpunktā minētais subjekts</w:t>
            </w:r>
            <w:r>
              <w:t xml:space="preserve"> </w:t>
            </w:r>
            <w:r w:rsidRPr="00204D8A">
              <w:t xml:space="preserve">Noziedzīgi iegūtu līdzekļu legalizācijas un terorisma un </w:t>
            </w:r>
            <w:proofErr w:type="spellStart"/>
            <w:r w:rsidRPr="00204D8A">
              <w:t>proliferācijas</w:t>
            </w:r>
            <w:proofErr w:type="spellEnd"/>
            <w:r w:rsidRPr="00204D8A">
              <w:t xml:space="preserve"> finansēšanas novēršanas likuma 18.</w:t>
            </w:r>
            <w:r w:rsidRPr="00F8525E">
              <w:rPr>
                <w:vertAlign w:val="superscript"/>
              </w:rPr>
              <w:t>1</w:t>
            </w:r>
            <w:r w:rsidRPr="00204D8A">
              <w:t>panta ceturtajā daļā noteikto informāciju</w:t>
            </w:r>
            <w:r>
              <w:t xml:space="preserve"> un dokumentus par patiesajiem labuma </w:t>
            </w:r>
            <w:r>
              <w:lastRenderedPageBreak/>
              <w:t>guvējiem</w:t>
            </w:r>
            <w:r w:rsidRPr="00042BDB" w:rsidDel="001C1AE1">
              <w:t xml:space="preserve"> </w:t>
            </w:r>
            <w:r>
              <w:t xml:space="preserve">iesniedz Valsts ieņēmumu dienestam </w:t>
            </w:r>
            <w:r w:rsidRPr="008E164B">
              <w:t xml:space="preserve">Noziedzīgi iegūtu līdzekļu legalizācijas un terorisma un </w:t>
            </w:r>
            <w:proofErr w:type="spellStart"/>
            <w:r w:rsidRPr="008E164B">
              <w:t>proliferācijas</w:t>
            </w:r>
            <w:proofErr w:type="spellEnd"/>
            <w:r w:rsidRPr="008E164B">
              <w:t xml:space="preserve"> finansēšanas novēršanas likuma</w:t>
            </w:r>
            <w:r>
              <w:t xml:space="preserve"> </w:t>
            </w:r>
            <w:r w:rsidRPr="00042BDB">
              <w:t>18.</w:t>
            </w:r>
            <w:r w:rsidRPr="00042BDB">
              <w:rPr>
                <w:vertAlign w:val="superscript"/>
              </w:rPr>
              <w:t>2</w:t>
            </w:r>
            <w:r>
              <w:rPr>
                <w:vertAlign w:val="superscript"/>
              </w:rPr>
              <w:t xml:space="preserve"> </w:t>
            </w:r>
            <w:r w:rsidRPr="00042BDB">
              <w:t>pant</w:t>
            </w:r>
            <w:r>
              <w:t>a pirmajā daļā</w:t>
            </w:r>
            <w:r w:rsidRPr="00042BDB">
              <w:t xml:space="preserve"> noteikt</w:t>
            </w:r>
            <w:r>
              <w:t xml:space="preserve">ajā termiņā, aizpildot </w:t>
            </w:r>
            <w:r w:rsidRPr="0068305A">
              <w:t>Nodokļu maksātāja (cita subjekta) ziņojumu par izmaiņām reģistrācijas lap</w:t>
            </w:r>
            <w:r>
              <w:t>ā</w:t>
            </w:r>
            <w:r w:rsidRPr="0068305A">
              <w:t xml:space="preserve"> (5.pielikums)</w:t>
            </w:r>
            <w:r>
              <w:t>. G</w:t>
            </w:r>
            <w:r w:rsidRPr="00221A06">
              <w:t>adījum</w:t>
            </w:r>
            <w:r>
              <w:t>ā</w:t>
            </w:r>
            <w:r w:rsidRPr="00221A06">
              <w:t xml:space="preserve">, </w:t>
            </w:r>
            <w:r>
              <w:t>ja</w:t>
            </w:r>
            <w:r w:rsidRPr="00221A06">
              <w:t xml:space="preserve"> mainās </w:t>
            </w:r>
            <w:r>
              <w:t xml:space="preserve">Valsts ieņēmumu dienestam </w:t>
            </w:r>
            <w:r w:rsidRPr="00221A06">
              <w:t>sniegt</w:t>
            </w:r>
            <w:r>
              <w:t>ā</w:t>
            </w:r>
            <w:r w:rsidRPr="00221A06">
              <w:t xml:space="preserve"> informācija par patiesajiem labuma guvējiem</w:t>
            </w:r>
            <w:r>
              <w:t>, š</w:t>
            </w:r>
            <w:r w:rsidRPr="001C1AE1">
              <w:t>o noteikumu 4.2.5.apakšpunktā minētais subjekts</w:t>
            </w:r>
            <w:r>
              <w:t xml:space="preserve"> aktuālo informāciju sniedz</w:t>
            </w:r>
            <w:r w:rsidRPr="00207B47">
              <w:t xml:space="preserve"> </w:t>
            </w:r>
            <w:r>
              <w:t>Valsts ieņēmumu dienestam</w:t>
            </w:r>
            <w:r w:rsidRPr="00207B47">
              <w:t xml:space="preserve"> </w:t>
            </w:r>
            <w:r w:rsidRPr="008E164B">
              <w:t xml:space="preserve">Noziedzīgi iegūtu līdzekļu legalizācijas un terorisma un </w:t>
            </w:r>
            <w:proofErr w:type="spellStart"/>
            <w:r w:rsidRPr="008E164B">
              <w:t>proliferācijas</w:t>
            </w:r>
            <w:proofErr w:type="spellEnd"/>
            <w:r w:rsidRPr="008E164B">
              <w:t xml:space="preserve"> finansēšanas novēršanas likuma</w:t>
            </w:r>
            <w:r>
              <w:t xml:space="preserve"> </w:t>
            </w:r>
            <w:r w:rsidRPr="00042BDB">
              <w:t>18.</w:t>
            </w:r>
            <w:r w:rsidRPr="00042BDB">
              <w:rPr>
                <w:vertAlign w:val="superscript"/>
              </w:rPr>
              <w:t>2</w:t>
            </w:r>
            <w:r>
              <w:rPr>
                <w:vertAlign w:val="superscript"/>
              </w:rPr>
              <w:t xml:space="preserve"> </w:t>
            </w:r>
            <w:r w:rsidRPr="00042BDB">
              <w:t>pant</w:t>
            </w:r>
            <w:r>
              <w:t>a pirmajā daļā</w:t>
            </w:r>
            <w:r w:rsidRPr="00042BDB">
              <w:t xml:space="preserve"> noteikt</w:t>
            </w:r>
            <w:r>
              <w:t>ajā termiņā,</w:t>
            </w:r>
            <w:r w:rsidRPr="00577506">
              <w:t xml:space="preserve"> </w:t>
            </w:r>
            <w:r>
              <w:t xml:space="preserve">aizpildot </w:t>
            </w:r>
            <w:r w:rsidRPr="0068305A">
              <w:t>Nodokļu maksātāja (cita subjekta) ziņojumu par izmaiņām reģistrācijas lap</w:t>
            </w:r>
            <w:r>
              <w:t>ā</w:t>
            </w:r>
            <w:r w:rsidRPr="0068305A">
              <w:t xml:space="preserve"> (5.pielikums)</w:t>
            </w:r>
            <w:r w:rsidRPr="00221A06">
              <w:t>.</w:t>
            </w:r>
            <w:r w:rsidR="003F0B1E">
              <w:t>”</w:t>
            </w:r>
          </w:p>
          <w:p w14:paraId="026C5359" w14:textId="77777777" w:rsidR="008744F6" w:rsidRPr="008744F6" w:rsidRDefault="008744F6" w:rsidP="00C44F1C">
            <w:pPr>
              <w:ind w:right="180"/>
              <w:jc w:val="both"/>
              <w:rPr>
                <w:bCs/>
                <w:lang w:eastAsia="lv-LV"/>
              </w:rPr>
            </w:pPr>
          </w:p>
          <w:p w14:paraId="10C62F3D" w14:textId="75CDF328" w:rsidR="008744F6" w:rsidRPr="00FB30C9" w:rsidRDefault="008744F6" w:rsidP="00CD3706">
            <w:pPr>
              <w:ind w:right="180"/>
              <w:jc w:val="both"/>
              <w:rPr>
                <w:bCs/>
                <w:lang w:eastAsia="lv-LV"/>
              </w:rPr>
            </w:pPr>
            <w:r w:rsidRPr="008744F6">
              <w:rPr>
                <w:bCs/>
                <w:lang w:eastAsia="lv-LV"/>
              </w:rPr>
              <w:lastRenderedPageBreak/>
              <w:t>Svītrot</w:t>
            </w:r>
            <w:r w:rsidR="00ED69D7">
              <w:rPr>
                <w:bCs/>
                <w:lang w:eastAsia="lv-LV"/>
              </w:rPr>
              <w:t>s</w:t>
            </w:r>
            <w:r w:rsidRPr="008744F6">
              <w:rPr>
                <w:bCs/>
                <w:lang w:eastAsia="lv-LV"/>
              </w:rPr>
              <w:t xml:space="preserve"> noteikumu projekta 5.punkt</w:t>
            </w:r>
            <w:r w:rsidR="00ED69D7">
              <w:rPr>
                <w:bCs/>
                <w:lang w:eastAsia="lv-LV"/>
              </w:rPr>
              <w:t>s</w:t>
            </w:r>
            <w:r w:rsidR="008B5C47">
              <w:rPr>
                <w:bCs/>
                <w:lang w:eastAsia="lv-LV"/>
              </w:rPr>
              <w:t xml:space="preserve"> </w:t>
            </w:r>
            <w:r w:rsidR="008B5C47" w:rsidRPr="00E92780">
              <w:rPr>
                <w:bCs/>
                <w:lang w:eastAsia="lv-LV"/>
              </w:rPr>
              <w:t>(attiecīb</w:t>
            </w:r>
            <w:r w:rsidR="00CD3706" w:rsidRPr="00E92780">
              <w:rPr>
                <w:bCs/>
                <w:lang w:eastAsia="lv-LV"/>
              </w:rPr>
              <w:t>ā</w:t>
            </w:r>
            <w:r w:rsidR="008B5C47" w:rsidRPr="00E92780">
              <w:rPr>
                <w:bCs/>
                <w:lang w:eastAsia="lv-LV"/>
              </w:rPr>
              <w:t xml:space="preserve"> uz noteikumu </w:t>
            </w:r>
            <w:r w:rsidR="008B5C47" w:rsidRPr="00E92780">
              <w:rPr>
                <w:lang w:eastAsia="lv-LV"/>
              </w:rPr>
              <w:t>19.punkta papildināšanu ar otro teikumu)</w:t>
            </w:r>
            <w:r w:rsidRPr="00E92780">
              <w:rPr>
                <w:bCs/>
                <w:lang w:eastAsia="lv-LV"/>
              </w:rPr>
              <w:t>.</w:t>
            </w:r>
          </w:p>
        </w:tc>
      </w:tr>
      <w:tr w:rsidR="008829E5" w:rsidRPr="00FB30C9" w14:paraId="54144FA7" w14:textId="77777777" w:rsidTr="00C44F1C">
        <w:trPr>
          <w:trHeight w:val="839"/>
        </w:trPr>
        <w:tc>
          <w:tcPr>
            <w:tcW w:w="617" w:type="dxa"/>
          </w:tcPr>
          <w:p w14:paraId="3D2419B3" w14:textId="0C3D7238" w:rsidR="008829E5" w:rsidRDefault="00CD41BB" w:rsidP="00C44F1C">
            <w:pPr>
              <w:jc w:val="both"/>
            </w:pPr>
            <w:r>
              <w:lastRenderedPageBreak/>
              <w:t>5</w:t>
            </w:r>
            <w:r w:rsidR="00557378">
              <w:t>.</w:t>
            </w:r>
          </w:p>
        </w:tc>
        <w:tc>
          <w:tcPr>
            <w:tcW w:w="3489" w:type="dxa"/>
          </w:tcPr>
          <w:p w14:paraId="2CFACBAF" w14:textId="77777777" w:rsidR="00177402" w:rsidRDefault="00177402" w:rsidP="00C44F1C">
            <w:pPr>
              <w:jc w:val="both"/>
              <w:rPr>
                <w:lang w:eastAsia="lv-LV"/>
              </w:rPr>
            </w:pPr>
            <w:r w:rsidRPr="00177402">
              <w:rPr>
                <w:lang w:eastAsia="lv-LV"/>
              </w:rPr>
              <w:t xml:space="preserve">Zem </w:t>
            </w:r>
            <w:r>
              <w:rPr>
                <w:lang w:eastAsia="lv-LV"/>
              </w:rPr>
              <w:t>noteikumu projekta esošā norāde:</w:t>
            </w:r>
          </w:p>
          <w:p w14:paraId="2C64C261" w14:textId="77777777" w:rsidR="00177402" w:rsidRDefault="00177402" w:rsidP="00C44F1C">
            <w:pPr>
              <w:jc w:val="both"/>
              <w:rPr>
                <w:lang w:eastAsia="lv-LV"/>
              </w:rPr>
            </w:pPr>
          </w:p>
          <w:p w14:paraId="3081D9DB" w14:textId="77777777" w:rsidR="008829E5" w:rsidRDefault="00177402" w:rsidP="00C44F1C">
            <w:pPr>
              <w:jc w:val="both"/>
              <w:rPr>
                <w:lang w:eastAsia="lv-LV"/>
              </w:rPr>
            </w:pPr>
            <w:r>
              <w:rPr>
                <w:lang w:eastAsia="lv-LV"/>
              </w:rPr>
              <w:t>“</w:t>
            </w:r>
            <w:r w:rsidR="00571C75" w:rsidRPr="00571C75">
              <w:rPr>
                <w:lang w:eastAsia="lv-LV"/>
              </w:rPr>
              <w:t>Noteikumi stājas spēkā 2020.gada 1.jūlijā.</w:t>
            </w:r>
            <w:r>
              <w:rPr>
                <w:lang w:eastAsia="lv-LV"/>
              </w:rPr>
              <w:t>”</w:t>
            </w:r>
          </w:p>
        </w:tc>
        <w:tc>
          <w:tcPr>
            <w:tcW w:w="4732" w:type="dxa"/>
          </w:tcPr>
          <w:p w14:paraId="008F7F81" w14:textId="77777777" w:rsidR="008829E5" w:rsidRPr="00571C75" w:rsidRDefault="00557378" w:rsidP="00C44F1C">
            <w:pPr>
              <w:jc w:val="both"/>
              <w:rPr>
                <w:b/>
              </w:rPr>
            </w:pPr>
            <w:r w:rsidRPr="00571C75">
              <w:rPr>
                <w:b/>
              </w:rPr>
              <w:t>Tieslietu ministrija</w:t>
            </w:r>
          </w:p>
          <w:p w14:paraId="1C1B1C48" w14:textId="56888C50" w:rsidR="00557378" w:rsidRPr="00CF1C1E" w:rsidRDefault="00CF1C1E" w:rsidP="00C44F1C">
            <w:pPr>
              <w:jc w:val="both"/>
              <w:rPr>
                <w:highlight w:val="yellow"/>
              </w:rPr>
            </w:pPr>
            <w:r w:rsidRPr="00571C75">
              <w:t>Zem projekta esošo norādi par projektā paredzēto noteikumu spēkā stāšanos nepieciešams precizēt vai svītrot, jo šobrīd nav iespējama paredzētā regulējuma spēkā stāšanās 2020.gada 1.jūlijā, jo minētais termiņš ir pagājis. Vēršam uzmanību, ka Ministru kabineta noteikumiem nevar būt atpakaļejošs spēks. Tādējādi Ministru kabineta noteikumi varēs stāties spēkā pēc to pieņemšanas Ministru kabinetā.</w:t>
            </w:r>
          </w:p>
        </w:tc>
        <w:tc>
          <w:tcPr>
            <w:tcW w:w="2497" w:type="dxa"/>
          </w:tcPr>
          <w:p w14:paraId="5718B446" w14:textId="77777777" w:rsidR="008829E5" w:rsidRPr="00BF06A9" w:rsidRDefault="00571C75" w:rsidP="00C44F1C">
            <w:pPr>
              <w:jc w:val="both"/>
              <w:rPr>
                <w:b/>
                <w:bCs/>
              </w:rPr>
            </w:pPr>
            <w:r w:rsidRPr="00571C75">
              <w:rPr>
                <w:b/>
                <w:bCs/>
              </w:rPr>
              <w:t>Iebildums ņemts vērā.</w:t>
            </w:r>
          </w:p>
        </w:tc>
        <w:tc>
          <w:tcPr>
            <w:tcW w:w="2922" w:type="dxa"/>
          </w:tcPr>
          <w:p w14:paraId="69C8B6A9" w14:textId="357B32C7" w:rsidR="008829E5" w:rsidRPr="00FB30C9" w:rsidRDefault="00A4066E" w:rsidP="004C0FEA">
            <w:pPr>
              <w:ind w:right="180"/>
              <w:jc w:val="both"/>
              <w:rPr>
                <w:bCs/>
                <w:lang w:eastAsia="lv-LV"/>
              </w:rPr>
            </w:pPr>
            <w:r w:rsidRPr="00A4066E">
              <w:rPr>
                <w:bCs/>
                <w:lang w:eastAsia="lv-LV"/>
              </w:rPr>
              <w:t>Svītrot</w:t>
            </w:r>
            <w:r w:rsidR="00732BD4">
              <w:rPr>
                <w:bCs/>
                <w:lang w:eastAsia="lv-LV"/>
              </w:rPr>
              <w:t>a</w:t>
            </w:r>
            <w:r w:rsidRPr="00A4066E">
              <w:rPr>
                <w:bCs/>
                <w:lang w:eastAsia="lv-LV"/>
              </w:rPr>
              <w:t xml:space="preserve"> </w:t>
            </w:r>
            <w:r>
              <w:rPr>
                <w:bCs/>
                <w:lang w:eastAsia="lv-LV"/>
              </w:rPr>
              <w:t>zem noteikumu projekta esoš</w:t>
            </w:r>
            <w:r w:rsidR="00732BD4">
              <w:rPr>
                <w:bCs/>
                <w:lang w:eastAsia="lv-LV"/>
              </w:rPr>
              <w:t>ā</w:t>
            </w:r>
            <w:r>
              <w:rPr>
                <w:bCs/>
                <w:lang w:eastAsia="lv-LV"/>
              </w:rPr>
              <w:t xml:space="preserve"> norād</w:t>
            </w:r>
            <w:r w:rsidR="00732BD4">
              <w:rPr>
                <w:bCs/>
                <w:lang w:eastAsia="lv-LV"/>
              </w:rPr>
              <w:t>e</w:t>
            </w:r>
            <w:r w:rsidR="004C0FEA" w:rsidRPr="00571C75">
              <w:t xml:space="preserve"> </w:t>
            </w:r>
            <w:r w:rsidR="004C0FEA" w:rsidRPr="007641B4">
              <w:t>par projektā paredzētā regulējuma spēkā stāšanās laiku</w:t>
            </w:r>
            <w:r w:rsidRPr="007641B4">
              <w:rPr>
                <w:bCs/>
                <w:lang w:eastAsia="lv-LV"/>
              </w:rPr>
              <w:t>.</w:t>
            </w:r>
          </w:p>
        </w:tc>
      </w:tr>
      <w:tr w:rsidR="003C718C" w:rsidRPr="00FB30C9" w14:paraId="0D051D91" w14:textId="77777777" w:rsidTr="00C44F1C">
        <w:trPr>
          <w:trHeight w:val="839"/>
        </w:trPr>
        <w:tc>
          <w:tcPr>
            <w:tcW w:w="617" w:type="dxa"/>
          </w:tcPr>
          <w:p w14:paraId="1F78E6F0" w14:textId="453A7C20" w:rsidR="003C718C" w:rsidRDefault="00CD41BB" w:rsidP="00C44F1C">
            <w:pPr>
              <w:jc w:val="both"/>
            </w:pPr>
            <w:r>
              <w:t>6.</w:t>
            </w:r>
          </w:p>
        </w:tc>
        <w:tc>
          <w:tcPr>
            <w:tcW w:w="3489" w:type="dxa"/>
          </w:tcPr>
          <w:p w14:paraId="7C4050DD" w14:textId="0B192D27" w:rsidR="003C718C" w:rsidRPr="00177402" w:rsidRDefault="003C718C" w:rsidP="00C44F1C">
            <w:pPr>
              <w:jc w:val="both"/>
              <w:rPr>
                <w:lang w:eastAsia="lv-LV"/>
              </w:rPr>
            </w:pPr>
          </w:p>
        </w:tc>
        <w:tc>
          <w:tcPr>
            <w:tcW w:w="4732" w:type="dxa"/>
          </w:tcPr>
          <w:p w14:paraId="34A946BE" w14:textId="22829CAD" w:rsidR="003C718C" w:rsidRPr="00594099" w:rsidRDefault="003C718C" w:rsidP="00C44F1C">
            <w:pPr>
              <w:jc w:val="both"/>
              <w:rPr>
                <w:b/>
              </w:rPr>
            </w:pPr>
            <w:r w:rsidRPr="00594099">
              <w:rPr>
                <w:b/>
              </w:rPr>
              <w:t xml:space="preserve">Vides aizsardzības un reģionālās attīstības ministrija </w:t>
            </w:r>
            <w:r w:rsidR="00D70959" w:rsidRPr="00D70959">
              <w:rPr>
                <w:b/>
              </w:rPr>
              <w:t>(</w:t>
            </w:r>
            <w:r w:rsidR="00D70959">
              <w:rPr>
                <w:b/>
              </w:rPr>
              <w:t>06.07.2020</w:t>
            </w:r>
            <w:r w:rsidR="00D70959" w:rsidRPr="00D70959">
              <w:rPr>
                <w:b/>
              </w:rPr>
              <w:t>. Nr.1-22/6077)</w:t>
            </w:r>
          </w:p>
          <w:p w14:paraId="4A6B19A8" w14:textId="5D0BB878" w:rsidR="003C718C" w:rsidRPr="00571C75" w:rsidRDefault="003C718C" w:rsidP="00C44F1C">
            <w:pPr>
              <w:jc w:val="both"/>
              <w:rPr>
                <w:b/>
              </w:rPr>
            </w:pPr>
            <w:r w:rsidRPr="00594099">
              <w:t>Pēc noteikumu projekta spēkā stāšanās lūdzam pakalpojuma turētājam nodrošināt pakalpojuma apraksta aktualizāciju valsts pārvaldes pakalpojumu portālā Latvija.lv saskaņā ar Ministru kabineta 2017.gada 4.jūlija noteikumu Nr.399 “Valsts pārvaldes pakalpojumu uzskaites, kvalitātes kontroles un sniegšanas kārtība” 4.3.apakšpunktu.</w:t>
            </w:r>
          </w:p>
        </w:tc>
        <w:tc>
          <w:tcPr>
            <w:tcW w:w="2497" w:type="dxa"/>
          </w:tcPr>
          <w:p w14:paraId="09C4271D" w14:textId="25B0BE72" w:rsidR="003C718C" w:rsidRPr="00571C75" w:rsidRDefault="003C718C" w:rsidP="00C44F1C">
            <w:pPr>
              <w:jc w:val="both"/>
              <w:rPr>
                <w:b/>
                <w:bCs/>
              </w:rPr>
            </w:pPr>
            <w:r w:rsidRPr="00594099">
              <w:rPr>
                <w:b/>
                <w:bCs/>
              </w:rPr>
              <w:t>Iebildums ņemts vērā.</w:t>
            </w:r>
          </w:p>
        </w:tc>
        <w:tc>
          <w:tcPr>
            <w:tcW w:w="2922" w:type="dxa"/>
          </w:tcPr>
          <w:p w14:paraId="451D3849" w14:textId="0886CFA5" w:rsidR="003C718C" w:rsidRPr="00A4066E" w:rsidRDefault="003C718C" w:rsidP="00C44F1C">
            <w:pPr>
              <w:ind w:right="180"/>
              <w:jc w:val="both"/>
              <w:rPr>
                <w:bCs/>
                <w:lang w:eastAsia="lv-LV"/>
              </w:rPr>
            </w:pPr>
            <w:r w:rsidRPr="00564109">
              <w:rPr>
                <w:bCs/>
                <w:lang w:eastAsia="lv-LV"/>
              </w:rPr>
              <w:t xml:space="preserve">Pēc noteikumu projekta spēkā stāšanās </w:t>
            </w:r>
            <w:r>
              <w:rPr>
                <w:bCs/>
                <w:lang w:eastAsia="lv-LV"/>
              </w:rPr>
              <w:t xml:space="preserve">tiks </w:t>
            </w:r>
            <w:r w:rsidRPr="00564109">
              <w:rPr>
                <w:bCs/>
                <w:lang w:eastAsia="lv-LV"/>
              </w:rPr>
              <w:t>nodrošināt</w:t>
            </w:r>
            <w:r>
              <w:rPr>
                <w:bCs/>
                <w:lang w:eastAsia="lv-LV"/>
              </w:rPr>
              <w:t>a</w:t>
            </w:r>
            <w:r w:rsidRPr="00564109">
              <w:rPr>
                <w:bCs/>
                <w:lang w:eastAsia="lv-LV"/>
              </w:rPr>
              <w:t xml:space="preserve"> pak</w:t>
            </w:r>
            <w:r>
              <w:rPr>
                <w:bCs/>
                <w:lang w:eastAsia="lv-LV"/>
              </w:rPr>
              <w:t xml:space="preserve">alpojuma apraksta aktualizācija </w:t>
            </w:r>
            <w:r w:rsidRPr="00564109">
              <w:rPr>
                <w:bCs/>
                <w:lang w:eastAsia="lv-LV"/>
              </w:rPr>
              <w:t>valsts pārvaldes</w:t>
            </w:r>
            <w:r>
              <w:rPr>
                <w:bCs/>
                <w:lang w:eastAsia="lv-LV"/>
              </w:rPr>
              <w:t xml:space="preserve"> pakalpojumu portālā Latvija.lv.</w:t>
            </w:r>
          </w:p>
        </w:tc>
      </w:tr>
      <w:tr w:rsidR="00CD41BB" w:rsidRPr="00FB30C9" w14:paraId="67EAA039" w14:textId="77777777" w:rsidTr="00C44F1C">
        <w:trPr>
          <w:trHeight w:val="839"/>
        </w:trPr>
        <w:tc>
          <w:tcPr>
            <w:tcW w:w="617" w:type="dxa"/>
          </w:tcPr>
          <w:p w14:paraId="74FEFF88" w14:textId="766F7736" w:rsidR="00CD41BB" w:rsidRPr="00FB30C9" w:rsidRDefault="00B3388D" w:rsidP="00C44F1C">
            <w:pPr>
              <w:jc w:val="both"/>
            </w:pPr>
            <w:r>
              <w:t>7.</w:t>
            </w:r>
          </w:p>
        </w:tc>
        <w:tc>
          <w:tcPr>
            <w:tcW w:w="3489" w:type="dxa"/>
          </w:tcPr>
          <w:p w14:paraId="759DEA3B" w14:textId="74BCA086" w:rsidR="00CD41BB" w:rsidRPr="00FB30C9" w:rsidRDefault="00176EE6" w:rsidP="00C44F1C">
            <w:pPr>
              <w:jc w:val="both"/>
              <w:rPr>
                <w:lang w:eastAsia="lv-LV"/>
              </w:rPr>
            </w:pPr>
            <w:r>
              <w:rPr>
                <w:lang w:eastAsia="lv-LV"/>
              </w:rPr>
              <w:t xml:space="preserve">Noteikumu projekta sākotnējās ietekmes novērtējuma ziņojums (anotācija) </w:t>
            </w:r>
            <w:r w:rsidR="00697CD8">
              <w:rPr>
                <w:lang w:eastAsia="lv-LV"/>
              </w:rPr>
              <w:t>(turpmāk – anotācija)</w:t>
            </w:r>
          </w:p>
        </w:tc>
        <w:tc>
          <w:tcPr>
            <w:tcW w:w="4732" w:type="dxa"/>
          </w:tcPr>
          <w:p w14:paraId="462FD3F1" w14:textId="2C0015F1" w:rsidR="00CD41BB" w:rsidRPr="00FA776C" w:rsidRDefault="00CD41BB" w:rsidP="00C44F1C">
            <w:pPr>
              <w:jc w:val="both"/>
              <w:rPr>
                <w:b/>
              </w:rPr>
            </w:pPr>
            <w:r w:rsidRPr="00FA776C">
              <w:rPr>
                <w:b/>
              </w:rPr>
              <w:t xml:space="preserve">Vides aizsardzības un reģionālās attīstības ministrija </w:t>
            </w:r>
            <w:r w:rsidR="00D70959" w:rsidRPr="00D70959">
              <w:rPr>
                <w:b/>
              </w:rPr>
              <w:t>(06.07.2020. Nr.1-22/6077)</w:t>
            </w:r>
          </w:p>
          <w:p w14:paraId="33E29DCB" w14:textId="77777777" w:rsidR="00CD41BB" w:rsidRPr="00FA776C" w:rsidRDefault="00CD41BB" w:rsidP="00C44F1C">
            <w:pPr>
              <w:jc w:val="both"/>
            </w:pPr>
            <w:r w:rsidRPr="00FA776C">
              <w:t>Sas</w:t>
            </w:r>
            <w:r>
              <w:t>kaņā ar Ministru kabineta 2009.</w:t>
            </w:r>
            <w:r w:rsidRPr="00FA776C">
              <w:t>gada 15.decembra instrukciju Nr.19 “Tiesību akta projekta sākotnējās ietekmes izvērtēšanas kārtība” (turpmāk – MK instrukcija Nr.19) 14.4.apak</w:t>
            </w:r>
            <w:r>
              <w:t>špunktu anotācijas I sadaļas 2.</w:t>
            </w:r>
            <w:r w:rsidRPr="00FA776C">
              <w:t xml:space="preserve">punktā jānorāda paredzēto pakalpojumu nosaukumi, ja </w:t>
            </w:r>
            <w:r w:rsidRPr="00FA776C">
              <w:lastRenderedPageBreak/>
              <w:t xml:space="preserve">projekts paredz ieviest jaunus pakalpojumus vai arī pilnveidot esošos, kā arī to, vai pakalpojums tiks sniegts elektroniski (ja pakalpojums nav pieejams elektroniski, vai ir plānots veidot elektronisku kanālu). </w:t>
            </w:r>
          </w:p>
          <w:p w14:paraId="17CC350A" w14:textId="77777777" w:rsidR="00CD41BB" w:rsidRPr="00FA776C" w:rsidRDefault="00CD41BB" w:rsidP="00C44F1C">
            <w:pPr>
              <w:jc w:val="both"/>
            </w:pPr>
            <w:r w:rsidRPr="00FA776C">
              <w:t>Noteikumu projektā ir paredzēts pienākums ārvalsts subjektiem, VID reģistrējot nerezidenta (ārvalsts komersanta) pastāvīgo pārstāvniecību Latvijā, sniegt VID informāciju par patiesajiem labuma guvējiem. Šāda informācija tiks sniegta, aizpildot pieteikumu nerezidenta (ārvalsts komersanta) pastāvīgās pārstāvniecības Latvijā reģistrācijai (noteikumu Nr.537 2.pielikums “Nodokļu maksātāja (cita subjekta) reģistrācijas lapa”), proti, reģistrācijas kārtība nav mainīta, bet ir precizēts iesniedzamās informācijas apjoms.</w:t>
            </w:r>
          </w:p>
          <w:p w14:paraId="101B6E44" w14:textId="77777777" w:rsidR="00CD41BB" w:rsidRPr="00FA776C" w:rsidRDefault="00CD41BB" w:rsidP="00C44F1C">
            <w:pPr>
              <w:jc w:val="both"/>
            </w:pPr>
            <w:r w:rsidRPr="00FA776C">
              <w:t>Ņemot vērā minēto, lūdzam atbilstoši MK instrukcijas Nr.19 14.4.apakšpunktā noteiktajam anotācijas I sadaļas 2.punktā norādīt pilnveidotā pakalpojuma sniegšanas kanālus. Saskaņā ar Ministru kabineta 2017.gada 4.jūlija noteikumu Nr.399 “Valsts pārvaldes pakalpojumu uzskaites, kvalitātes kontroles un sniegšanas kārtība” 17.punktu pakalpojumu pieprasīšanas un saņemšanas kanāli iedalāmi klātienes un neklātienes kanālos.</w:t>
            </w:r>
          </w:p>
        </w:tc>
        <w:tc>
          <w:tcPr>
            <w:tcW w:w="2497" w:type="dxa"/>
          </w:tcPr>
          <w:p w14:paraId="0761F1EF" w14:textId="77777777" w:rsidR="00CD41BB" w:rsidRPr="00FB30C9" w:rsidRDefault="00CD41BB" w:rsidP="00C44F1C">
            <w:pPr>
              <w:jc w:val="both"/>
              <w:rPr>
                <w:b/>
                <w:bCs/>
              </w:rPr>
            </w:pPr>
            <w:r>
              <w:rPr>
                <w:b/>
                <w:bCs/>
              </w:rPr>
              <w:lastRenderedPageBreak/>
              <w:t>Iebildums ņ</w:t>
            </w:r>
            <w:r w:rsidRPr="00F77E03">
              <w:rPr>
                <w:b/>
                <w:bCs/>
              </w:rPr>
              <w:t>emts vērā.</w:t>
            </w:r>
          </w:p>
        </w:tc>
        <w:tc>
          <w:tcPr>
            <w:tcW w:w="2922" w:type="dxa"/>
          </w:tcPr>
          <w:p w14:paraId="538B1F63" w14:textId="1E31E311" w:rsidR="00CD41BB" w:rsidRDefault="00CD41BB" w:rsidP="00C44F1C">
            <w:pPr>
              <w:ind w:right="180"/>
              <w:jc w:val="both"/>
              <w:rPr>
                <w:bCs/>
                <w:lang w:eastAsia="lv-LV"/>
              </w:rPr>
            </w:pPr>
            <w:r>
              <w:rPr>
                <w:bCs/>
                <w:lang w:eastAsia="lv-LV"/>
              </w:rPr>
              <w:t>P</w:t>
            </w:r>
            <w:r w:rsidRPr="001F47CF">
              <w:rPr>
                <w:bCs/>
                <w:lang w:eastAsia="lv-LV"/>
              </w:rPr>
              <w:t>apildināt</w:t>
            </w:r>
            <w:r>
              <w:rPr>
                <w:bCs/>
                <w:lang w:eastAsia="lv-LV"/>
              </w:rPr>
              <w:t>s</w:t>
            </w:r>
            <w:r>
              <w:t xml:space="preserve"> </w:t>
            </w:r>
            <w:r>
              <w:rPr>
                <w:bCs/>
                <w:lang w:eastAsia="lv-LV"/>
              </w:rPr>
              <w:t xml:space="preserve">anotācijas I sadaļas 2.punkts ar </w:t>
            </w:r>
            <w:r w:rsidR="00C53886">
              <w:rPr>
                <w:bCs/>
                <w:lang w:eastAsia="lv-LV"/>
              </w:rPr>
              <w:t>21</w:t>
            </w:r>
            <w:r>
              <w:rPr>
                <w:bCs/>
                <w:lang w:eastAsia="lv-LV"/>
              </w:rPr>
              <w:t xml:space="preserve">.rindkopu (5.lpp.) šādā </w:t>
            </w:r>
            <w:r w:rsidRPr="001F47CF">
              <w:rPr>
                <w:bCs/>
                <w:lang w:eastAsia="lv-LV"/>
              </w:rPr>
              <w:t>redakcijā:</w:t>
            </w:r>
          </w:p>
          <w:p w14:paraId="1B3FF055" w14:textId="77777777" w:rsidR="00CD41BB" w:rsidRDefault="00CD41BB" w:rsidP="00C44F1C">
            <w:pPr>
              <w:ind w:right="180"/>
              <w:jc w:val="both"/>
              <w:rPr>
                <w:bCs/>
                <w:lang w:eastAsia="lv-LV"/>
              </w:rPr>
            </w:pPr>
          </w:p>
          <w:p w14:paraId="7EF3BEC6" w14:textId="77777777" w:rsidR="00CD41BB" w:rsidRPr="00FB30C9" w:rsidRDefault="00CD41BB" w:rsidP="00C44F1C">
            <w:pPr>
              <w:ind w:right="180"/>
              <w:jc w:val="both"/>
              <w:rPr>
                <w:bCs/>
                <w:lang w:eastAsia="lv-LV"/>
              </w:rPr>
            </w:pPr>
            <w:r>
              <w:rPr>
                <w:bCs/>
                <w:lang w:eastAsia="lv-LV"/>
              </w:rPr>
              <w:t>“</w:t>
            </w:r>
            <w:r w:rsidRPr="0015305B">
              <w:rPr>
                <w:bCs/>
                <w:lang w:eastAsia="lv-LV"/>
              </w:rPr>
              <w:t xml:space="preserve">Saskaņā ar Ministru kabineta 2017.gada 4.jūlija noteikumu Nr.399 </w:t>
            </w:r>
            <w:r w:rsidRPr="0015305B">
              <w:rPr>
                <w:bCs/>
                <w:lang w:eastAsia="lv-LV"/>
              </w:rPr>
              <w:lastRenderedPageBreak/>
              <w:t>“Valsts pārvaldes pakalpojumu uzskaites, kvalitātes kontroles un sniegšanas kārtība” 17.punktu VID informācijas par patiesajiem labuma guvējiem sniegšana tiks nodrošināta klātienē un neklātienē. Gadījumā, ja minēto pakalpojumu sniegs neklātienē, tad izmantos elektronisko kanālu.</w:t>
            </w:r>
            <w:r>
              <w:rPr>
                <w:bCs/>
                <w:lang w:eastAsia="lv-LV"/>
              </w:rPr>
              <w:t>”</w:t>
            </w:r>
          </w:p>
        </w:tc>
      </w:tr>
      <w:tr w:rsidR="00567F4E" w:rsidRPr="00FB30C9" w14:paraId="382E2C2E" w14:textId="77777777" w:rsidTr="00C44F1C">
        <w:trPr>
          <w:trHeight w:val="839"/>
        </w:trPr>
        <w:tc>
          <w:tcPr>
            <w:tcW w:w="617" w:type="dxa"/>
          </w:tcPr>
          <w:p w14:paraId="2A40A6D7" w14:textId="77777777" w:rsidR="00567F4E" w:rsidRDefault="001A4E3B" w:rsidP="00C44F1C">
            <w:pPr>
              <w:jc w:val="both"/>
            </w:pPr>
            <w:r>
              <w:lastRenderedPageBreak/>
              <w:t>8.</w:t>
            </w:r>
          </w:p>
          <w:p w14:paraId="0D4D5289" w14:textId="77777777" w:rsidR="008E5A3B" w:rsidRDefault="008E5A3B" w:rsidP="00C44F1C">
            <w:pPr>
              <w:jc w:val="both"/>
            </w:pPr>
          </w:p>
        </w:tc>
        <w:tc>
          <w:tcPr>
            <w:tcW w:w="3489" w:type="dxa"/>
          </w:tcPr>
          <w:p w14:paraId="6A640FBC" w14:textId="6CEF26E0" w:rsidR="00567F4E" w:rsidRDefault="00697CD8" w:rsidP="00C44F1C">
            <w:pPr>
              <w:jc w:val="both"/>
              <w:rPr>
                <w:lang w:eastAsia="lv-LV"/>
              </w:rPr>
            </w:pPr>
            <w:r>
              <w:rPr>
                <w:lang w:eastAsia="lv-LV"/>
              </w:rPr>
              <w:t>Anotācija</w:t>
            </w:r>
          </w:p>
        </w:tc>
        <w:tc>
          <w:tcPr>
            <w:tcW w:w="4732" w:type="dxa"/>
          </w:tcPr>
          <w:p w14:paraId="1BBC8175" w14:textId="77777777" w:rsidR="00567F4E" w:rsidRPr="00DE314F" w:rsidRDefault="00567F4E" w:rsidP="00C44F1C">
            <w:pPr>
              <w:jc w:val="both"/>
              <w:rPr>
                <w:b/>
              </w:rPr>
            </w:pPr>
            <w:r w:rsidRPr="00DE314F">
              <w:rPr>
                <w:b/>
              </w:rPr>
              <w:t>Valsts kanceleja</w:t>
            </w:r>
          </w:p>
          <w:p w14:paraId="29BF1708" w14:textId="15708A00" w:rsidR="00567F4E" w:rsidRPr="00DE314F" w:rsidRDefault="00567F4E" w:rsidP="00C44F1C">
            <w:pPr>
              <w:jc w:val="both"/>
            </w:pPr>
            <w:r w:rsidRPr="00DE314F">
              <w:t xml:space="preserve">Aicinām precizēt anotācijas II sadaļas 3. punktu atbilstoši Ministru kabineta 2009.gada 15.decembra instrukcijas Nr.19 "Tiesību akta projekta sākotnējās ietekmes izvērtēšanas kārtība" 24. un 25.punktam, papildinot to ar </w:t>
            </w:r>
            <w:r w:rsidRPr="00DE314F">
              <w:lastRenderedPageBreak/>
              <w:t>projektā paredzētā administratīvo izmaksu palielinājuma veikto monetāro novērtējumu mērķa grupai (46 komersantiem).</w:t>
            </w:r>
          </w:p>
          <w:p w14:paraId="22E36A38" w14:textId="77777777" w:rsidR="00567F4E" w:rsidRPr="00DE314F" w:rsidRDefault="00567F4E" w:rsidP="00C44F1C">
            <w:pPr>
              <w:jc w:val="both"/>
            </w:pPr>
            <w:r w:rsidRPr="00DE314F">
              <w:t>Ņemot vērā, ka projekts paredz papildināt jau spēkā esošos pieteikumus reģistrācijai VID (noteikumu Nr.537 2.pielikumu “Nodokļu maksātāja (cita subjekta) reģistrācijas lapa” un 5.pielikumu “Nodokļu maksātāja (cita subjekta) ziņojums par izmaiņām reģistrācijas lapā”) ar jaunu punktu, kas paredz sniegt papildu informāciju - ziņas vai izmaiņas ziņās par patiesajiem labuma guvējiem, palielināsies sniedzamās informācijas apjoms, kas ir administratīvā sloga pieaugums komersantiem, tāpēc šis palielinājums ir jānovērtē monetāri.</w:t>
            </w:r>
          </w:p>
          <w:p w14:paraId="778DAB3A" w14:textId="77777777" w:rsidR="00567F4E" w:rsidRPr="00DE314F" w:rsidRDefault="00567F4E" w:rsidP="00C44F1C">
            <w:pPr>
              <w:jc w:val="both"/>
            </w:pPr>
          </w:p>
          <w:p w14:paraId="10EED106" w14:textId="77777777" w:rsidR="00567F4E" w:rsidRPr="00DE314F" w:rsidRDefault="00567F4E" w:rsidP="00C44F1C">
            <w:pPr>
              <w:jc w:val="both"/>
            </w:pPr>
            <w:r w:rsidRPr="00DE314F">
              <w:t xml:space="preserve">Vēršam Jūsu uzmanību, ka gadījumā, ja veiktais monetārais novērtējums uzrādīs administratīvo izmaksu palielinājumu, kas būs lielāks par 2000 </w:t>
            </w:r>
            <w:proofErr w:type="spellStart"/>
            <w:r w:rsidRPr="00DE314F">
              <w:t>eur</w:t>
            </w:r>
            <w:proofErr w:type="spellEnd"/>
            <w:r w:rsidRPr="00DE314F">
              <w:t xml:space="preserve"> mērķa grupai/gadā, uz projektu atteiksies nepieciešamība ievērot Nulles birokrātijas pieeju.</w:t>
            </w:r>
          </w:p>
          <w:p w14:paraId="34D59DE2" w14:textId="5FB978DB" w:rsidR="00567F4E" w:rsidRPr="00DE314F" w:rsidRDefault="00567F4E" w:rsidP="00C44F1C">
            <w:pPr>
              <w:jc w:val="both"/>
            </w:pPr>
            <w:r w:rsidRPr="00DE314F">
              <w:t xml:space="preserve">Atgādinām, ka ar 2019.gada 1.novembri valsts pārvaldes iestādes sāka piemērot Nulles birokrātijas pieeju uzņēmējus ietekmējošo tiesību aktu izstrādē. Mērķis - apturēt administratīvā sloga pieaugumu uzņēmējiem. Tas nozīmē, ka iesniedzot Ministru kabinetā tiesību akta projektu, kas palielina administratīvo slogu vai rada jaunas atbilstības izmaksas uzņēmējiem, vienlaikus ir jāiesniedz tiesību akta projekts, kas tai pašai mērķa grupai samazina administratīvo slogu vai atceļ atbilstības prasības līdzvērtīgā apmērā, </w:t>
            </w:r>
            <w:r w:rsidRPr="00DE314F">
              <w:lastRenderedPageBreak/>
              <w:t>jāsaskaņo šis tiesību akta projekts ar uzņēmēju mērķa grupu, kā arī jāsaņem saskaņojums no Ekonomikas ministrijas.</w:t>
            </w:r>
          </w:p>
          <w:p w14:paraId="0216C49E" w14:textId="77777777" w:rsidR="00567F4E" w:rsidRPr="00567F4E" w:rsidRDefault="00567F4E" w:rsidP="00C44F1C">
            <w:pPr>
              <w:jc w:val="both"/>
              <w:rPr>
                <w:b/>
                <w:highlight w:val="yellow"/>
              </w:rPr>
            </w:pPr>
            <w:r w:rsidRPr="00DE314F">
              <w:t xml:space="preserve">Skatieties 2019.gada 20.augusta MK lēmumu 35 §18 šeit: </w:t>
            </w:r>
            <w:hyperlink r:id="rId8" w:history="1">
              <w:r w:rsidRPr="00DE314F">
                <w:rPr>
                  <w:rStyle w:val="Hyperlink"/>
                </w:rPr>
                <w:t>http://tap.mk.gov.lv/lv/mk/tap/?pid=40476165&amp;mode=mk&amp;date=2019-08-20</w:t>
              </w:r>
            </w:hyperlink>
            <w:r w:rsidRPr="00DE314F">
              <w:t xml:space="preserve">. </w:t>
            </w:r>
          </w:p>
        </w:tc>
        <w:tc>
          <w:tcPr>
            <w:tcW w:w="2497" w:type="dxa"/>
          </w:tcPr>
          <w:p w14:paraId="3E8188E3" w14:textId="77777777" w:rsidR="00567F4E" w:rsidRPr="00BF06A9" w:rsidRDefault="00DE314F" w:rsidP="00C44F1C">
            <w:pPr>
              <w:jc w:val="both"/>
              <w:rPr>
                <w:b/>
                <w:bCs/>
              </w:rPr>
            </w:pPr>
            <w:r w:rsidRPr="00DE314F">
              <w:rPr>
                <w:b/>
                <w:bCs/>
              </w:rPr>
              <w:lastRenderedPageBreak/>
              <w:t>Iebildums ņemts vērā.</w:t>
            </w:r>
          </w:p>
        </w:tc>
        <w:tc>
          <w:tcPr>
            <w:tcW w:w="2922" w:type="dxa"/>
          </w:tcPr>
          <w:p w14:paraId="0A6D3BBF" w14:textId="3B742FEF" w:rsidR="00567F4E" w:rsidRDefault="00B5723F" w:rsidP="00C44F1C">
            <w:pPr>
              <w:ind w:right="180"/>
              <w:jc w:val="both"/>
              <w:rPr>
                <w:bCs/>
                <w:lang w:eastAsia="lv-LV"/>
              </w:rPr>
            </w:pPr>
            <w:r>
              <w:rPr>
                <w:bCs/>
                <w:lang w:eastAsia="lv-LV"/>
              </w:rPr>
              <w:t>Precizēt</w:t>
            </w:r>
            <w:r w:rsidR="00ED69D7">
              <w:rPr>
                <w:bCs/>
                <w:lang w:eastAsia="lv-LV"/>
              </w:rPr>
              <w:t>a</w:t>
            </w:r>
            <w:r w:rsidR="00F30930" w:rsidRPr="00F30930">
              <w:rPr>
                <w:bCs/>
                <w:lang w:eastAsia="lv-LV"/>
              </w:rPr>
              <w:t xml:space="preserve"> anotācijas I</w:t>
            </w:r>
            <w:r>
              <w:rPr>
                <w:bCs/>
                <w:lang w:eastAsia="lv-LV"/>
              </w:rPr>
              <w:t>I sadaļas 2.punkt</w:t>
            </w:r>
            <w:r w:rsidR="00ED69D7">
              <w:rPr>
                <w:bCs/>
                <w:lang w:eastAsia="lv-LV"/>
              </w:rPr>
              <w:t>a</w:t>
            </w:r>
            <w:r>
              <w:rPr>
                <w:bCs/>
                <w:lang w:eastAsia="lv-LV"/>
              </w:rPr>
              <w:t xml:space="preserve"> otr</w:t>
            </w:r>
            <w:r w:rsidR="00ED69D7">
              <w:rPr>
                <w:bCs/>
                <w:lang w:eastAsia="lv-LV"/>
              </w:rPr>
              <w:t>ā</w:t>
            </w:r>
            <w:r>
              <w:rPr>
                <w:bCs/>
                <w:lang w:eastAsia="lv-LV"/>
              </w:rPr>
              <w:t xml:space="preserve"> rindkop</w:t>
            </w:r>
            <w:r w:rsidR="00ED69D7">
              <w:rPr>
                <w:bCs/>
                <w:lang w:eastAsia="lv-LV"/>
              </w:rPr>
              <w:t>a</w:t>
            </w:r>
            <w:r>
              <w:rPr>
                <w:bCs/>
                <w:lang w:eastAsia="lv-LV"/>
              </w:rPr>
              <w:t xml:space="preserve"> </w:t>
            </w:r>
            <w:r w:rsidR="00F30930" w:rsidRPr="00F30930">
              <w:rPr>
                <w:bCs/>
                <w:lang w:eastAsia="lv-LV"/>
              </w:rPr>
              <w:t>šādā redakcijā:</w:t>
            </w:r>
          </w:p>
          <w:p w14:paraId="1B99B940" w14:textId="77777777" w:rsidR="00B5723F" w:rsidRDefault="00B5723F" w:rsidP="00C44F1C">
            <w:pPr>
              <w:ind w:right="180"/>
              <w:jc w:val="both"/>
              <w:rPr>
                <w:bCs/>
                <w:lang w:eastAsia="lv-LV"/>
              </w:rPr>
            </w:pPr>
          </w:p>
          <w:p w14:paraId="73647BD4" w14:textId="1C6AA02B" w:rsidR="00B5723F" w:rsidRDefault="00B5723F" w:rsidP="00C44F1C">
            <w:pPr>
              <w:ind w:right="180"/>
              <w:jc w:val="both"/>
              <w:rPr>
                <w:bCs/>
                <w:lang w:eastAsia="lv-LV"/>
              </w:rPr>
            </w:pPr>
            <w:r>
              <w:rPr>
                <w:bCs/>
                <w:lang w:eastAsia="lv-LV"/>
              </w:rPr>
              <w:t>“</w:t>
            </w:r>
            <w:r w:rsidR="004B21B1" w:rsidRPr="004B21B1">
              <w:rPr>
                <w:bCs/>
                <w:lang w:eastAsia="lv-LV"/>
              </w:rPr>
              <w:t xml:space="preserve">Ievērojot noteikto, nebūtiski palielināsies </w:t>
            </w:r>
            <w:r w:rsidR="004B21B1" w:rsidRPr="004B21B1">
              <w:rPr>
                <w:bCs/>
                <w:lang w:eastAsia="lv-LV"/>
              </w:rPr>
              <w:lastRenderedPageBreak/>
              <w:t>sniedzamās informācijas apjoms - nodokļu maksātājiem būs jānorāda papildus ziņas nodokļu maksātāja reģistrācijas lapā, norādot informāciju par patieso labuma guvēju. Noteikumu projekts neparedz pienākumu attiecīgajiem nodokļu maksātājiem veikt kādas darbības, papildus tām darbībām, ko tie jau šobrīd veic, iesniedzot nodokļu maksātāja reģistrācijas lapu vai ziņojumu par izmaiņām tajā, bet attiecas tikai uz pienākumu norādīt papildu informāciju.</w:t>
            </w:r>
            <w:r w:rsidR="004B21B1">
              <w:rPr>
                <w:bCs/>
                <w:lang w:eastAsia="lv-LV"/>
              </w:rPr>
              <w:t>”</w:t>
            </w:r>
          </w:p>
          <w:p w14:paraId="70EF5AF7" w14:textId="77777777" w:rsidR="004B21B1" w:rsidRDefault="004B21B1" w:rsidP="00C44F1C">
            <w:pPr>
              <w:ind w:right="180"/>
              <w:jc w:val="both"/>
              <w:rPr>
                <w:bCs/>
                <w:lang w:eastAsia="lv-LV"/>
              </w:rPr>
            </w:pPr>
          </w:p>
          <w:p w14:paraId="2981A5C0" w14:textId="51CB8446" w:rsidR="004B21B1" w:rsidRDefault="004B21B1" w:rsidP="00C44F1C">
            <w:pPr>
              <w:ind w:right="180"/>
              <w:jc w:val="both"/>
              <w:rPr>
                <w:bCs/>
                <w:lang w:eastAsia="lv-LV"/>
              </w:rPr>
            </w:pPr>
            <w:r w:rsidRPr="004B21B1">
              <w:rPr>
                <w:bCs/>
                <w:lang w:eastAsia="lv-LV"/>
              </w:rPr>
              <w:t>Precizēt</w:t>
            </w:r>
            <w:r w:rsidR="00ED69D7">
              <w:rPr>
                <w:bCs/>
                <w:lang w:eastAsia="lv-LV"/>
              </w:rPr>
              <w:t>s</w:t>
            </w:r>
            <w:r w:rsidRPr="004B21B1">
              <w:rPr>
                <w:bCs/>
                <w:lang w:eastAsia="lv-LV"/>
              </w:rPr>
              <w:t xml:space="preserve"> anotācijas II sadaļas </w:t>
            </w:r>
            <w:r>
              <w:rPr>
                <w:bCs/>
                <w:lang w:eastAsia="lv-LV"/>
              </w:rPr>
              <w:t>3</w:t>
            </w:r>
            <w:r w:rsidRPr="004B21B1">
              <w:rPr>
                <w:bCs/>
                <w:lang w:eastAsia="lv-LV"/>
              </w:rPr>
              <w:t>.punkt</w:t>
            </w:r>
            <w:r w:rsidR="00ED69D7">
              <w:rPr>
                <w:bCs/>
                <w:lang w:eastAsia="lv-LV"/>
              </w:rPr>
              <w:t>s</w:t>
            </w:r>
            <w:r>
              <w:rPr>
                <w:bCs/>
                <w:lang w:eastAsia="lv-LV"/>
              </w:rPr>
              <w:t xml:space="preserve"> </w:t>
            </w:r>
            <w:r w:rsidRPr="004B21B1">
              <w:rPr>
                <w:bCs/>
                <w:lang w:eastAsia="lv-LV"/>
              </w:rPr>
              <w:t>šādā redakcijā:</w:t>
            </w:r>
          </w:p>
          <w:p w14:paraId="6DC07F81" w14:textId="77777777" w:rsidR="004B21B1" w:rsidRDefault="004B21B1" w:rsidP="00C44F1C">
            <w:pPr>
              <w:ind w:right="180"/>
              <w:jc w:val="both"/>
              <w:rPr>
                <w:bCs/>
                <w:lang w:eastAsia="lv-LV"/>
              </w:rPr>
            </w:pPr>
          </w:p>
          <w:p w14:paraId="0CE86004" w14:textId="55C0F3D5" w:rsidR="004B21B1" w:rsidRPr="004B21B1" w:rsidRDefault="004B21B1" w:rsidP="00C44F1C">
            <w:pPr>
              <w:ind w:right="180"/>
              <w:jc w:val="both"/>
              <w:rPr>
                <w:bCs/>
                <w:lang w:eastAsia="lv-LV"/>
              </w:rPr>
            </w:pPr>
            <w:r>
              <w:rPr>
                <w:bCs/>
                <w:lang w:eastAsia="lv-LV"/>
              </w:rPr>
              <w:t>“</w:t>
            </w:r>
            <w:r w:rsidRPr="004B21B1">
              <w:rPr>
                <w:bCs/>
                <w:lang w:eastAsia="lv-LV"/>
              </w:rPr>
              <w:t xml:space="preserve">Ņemot vērā, ka nav nepieciešams veikt papildu darbības, piemēram, meklējumus publiskajos reģistros u.tml., lai noskaidrotu patiesā labuma guvēju un ar to saistītu informāciju, </w:t>
            </w:r>
            <w:r w:rsidRPr="004B21B1">
              <w:rPr>
                <w:bCs/>
                <w:lang w:eastAsia="lv-LV"/>
              </w:rPr>
              <w:lastRenderedPageBreak/>
              <w:t>šādās informācijas apkopošana un norādīšana reģistrācijas lapās vidēji aizņems 20 minūtes. Informāciju par sevi sniegs</w:t>
            </w:r>
            <w:r w:rsidR="00930DFD">
              <w:rPr>
                <w:bCs/>
                <w:lang w:eastAsia="lv-LV"/>
              </w:rPr>
              <w:t xml:space="preserve"> </w:t>
            </w:r>
            <w:r w:rsidR="00847138" w:rsidRPr="00847138">
              <w:rPr>
                <w:bCs/>
                <w:lang w:eastAsia="lv-LV"/>
              </w:rPr>
              <w:t>ārvalstu subjekts, kas ir reģistrēts VID vai kam ir jāreģistrējas VID</w:t>
            </w:r>
            <w:r w:rsidRPr="004B21B1">
              <w:rPr>
                <w:bCs/>
                <w:lang w:eastAsia="lv-LV"/>
              </w:rPr>
              <w:t xml:space="preserve">. Informācija ir iesniedzama vienreiz, reģistrējoties, kā arī gadījumos, kad patiesais labuma guvējs mainās. Tāpat pienākums sniegt informāciju par patiesajiem labuma guvējiem būs visiem (227) šobrīd reģistrētajiem nerezidentiem - pastāvīgajām pārstāvniecībām Latvijā.  </w:t>
            </w:r>
          </w:p>
          <w:p w14:paraId="49B83F83" w14:textId="77B2CB27" w:rsidR="004B21B1" w:rsidRPr="004B21B1" w:rsidRDefault="004B21B1" w:rsidP="00C44F1C">
            <w:pPr>
              <w:ind w:right="180"/>
              <w:jc w:val="both"/>
              <w:rPr>
                <w:bCs/>
                <w:lang w:eastAsia="lv-LV"/>
              </w:rPr>
            </w:pPr>
            <w:r w:rsidRPr="004B21B1">
              <w:rPr>
                <w:bCs/>
                <w:lang w:eastAsia="lv-LV"/>
              </w:rPr>
              <w:t>Aprēķinos tiek izmantota vidējā darba stund</w:t>
            </w:r>
            <w:r w:rsidR="00ED69D7">
              <w:rPr>
                <w:bCs/>
                <w:lang w:eastAsia="lv-LV"/>
              </w:rPr>
              <w:t>a</w:t>
            </w:r>
            <w:r w:rsidRPr="004B21B1">
              <w:rPr>
                <w:bCs/>
                <w:lang w:eastAsia="lv-LV"/>
              </w:rPr>
              <w:t xml:space="preserve"> 2020.gada I ceturksnī – 6.93 </w:t>
            </w:r>
            <w:proofErr w:type="spellStart"/>
            <w:r w:rsidRPr="00302A7D">
              <w:rPr>
                <w:bCs/>
                <w:i/>
                <w:lang w:eastAsia="lv-LV"/>
              </w:rPr>
              <w:t>euro</w:t>
            </w:r>
            <w:proofErr w:type="spellEnd"/>
            <w:r w:rsidRPr="004B21B1">
              <w:rPr>
                <w:bCs/>
                <w:lang w:eastAsia="lv-LV"/>
              </w:rPr>
              <w:t xml:space="preserve"> stundā (Centrālās statistikas pārvaldes dati). Kopējais šobrīd reģistrēto pārstāvniecību skaits Latvijā ir 227.</w:t>
            </w:r>
          </w:p>
          <w:p w14:paraId="3C69580F" w14:textId="77777777" w:rsidR="004B21B1" w:rsidRPr="004B21B1" w:rsidRDefault="004B21B1" w:rsidP="00C44F1C">
            <w:pPr>
              <w:ind w:right="180"/>
              <w:jc w:val="both"/>
              <w:rPr>
                <w:bCs/>
                <w:lang w:eastAsia="lv-LV"/>
              </w:rPr>
            </w:pPr>
          </w:p>
          <w:p w14:paraId="30641EA0" w14:textId="77777777" w:rsidR="004B21B1" w:rsidRPr="004B21B1" w:rsidRDefault="004B21B1" w:rsidP="00C44F1C">
            <w:pPr>
              <w:ind w:right="180"/>
              <w:jc w:val="both"/>
              <w:rPr>
                <w:bCs/>
                <w:lang w:eastAsia="lv-LV"/>
              </w:rPr>
            </w:pPr>
            <w:r w:rsidRPr="004B21B1">
              <w:rPr>
                <w:bCs/>
                <w:lang w:eastAsia="lv-LV"/>
              </w:rPr>
              <w:t xml:space="preserve">Administratīvo izmaksu monetārais novērtējums šobrīd reģistrētajām </w:t>
            </w:r>
            <w:r w:rsidRPr="004B21B1">
              <w:rPr>
                <w:bCs/>
                <w:lang w:eastAsia="lv-LV"/>
              </w:rPr>
              <w:lastRenderedPageBreak/>
              <w:t>pārstāvniecībām, sniedzot informāciju par patiesajiem labuma guvējiem:</w:t>
            </w:r>
          </w:p>
          <w:p w14:paraId="0BF7BE8A" w14:textId="77777777" w:rsidR="004B21B1" w:rsidRPr="004B21B1" w:rsidRDefault="004B21B1" w:rsidP="00C44F1C">
            <w:pPr>
              <w:ind w:right="180"/>
              <w:jc w:val="both"/>
              <w:rPr>
                <w:bCs/>
                <w:lang w:eastAsia="lv-LV"/>
              </w:rPr>
            </w:pPr>
          </w:p>
          <w:p w14:paraId="3A556284" w14:textId="77777777" w:rsidR="004B21B1" w:rsidRPr="004B21B1" w:rsidRDefault="004B21B1" w:rsidP="00C44F1C">
            <w:pPr>
              <w:ind w:right="180"/>
              <w:jc w:val="both"/>
              <w:rPr>
                <w:bCs/>
                <w:lang w:eastAsia="lv-LV"/>
              </w:rPr>
            </w:pPr>
            <w:r w:rsidRPr="004B21B1">
              <w:rPr>
                <w:bCs/>
                <w:lang w:eastAsia="lv-LV"/>
              </w:rPr>
              <w:t xml:space="preserve">6.93 x 0.3 x 227 = 471,93 </w:t>
            </w:r>
            <w:proofErr w:type="spellStart"/>
            <w:r w:rsidRPr="00F20805">
              <w:rPr>
                <w:bCs/>
                <w:i/>
                <w:lang w:eastAsia="lv-LV"/>
              </w:rPr>
              <w:t>euro</w:t>
            </w:r>
            <w:proofErr w:type="spellEnd"/>
            <w:r w:rsidRPr="004B21B1">
              <w:rPr>
                <w:bCs/>
                <w:lang w:eastAsia="lv-LV"/>
              </w:rPr>
              <w:t>.</w:t>
            </w:r>
          </w:p>
          <w:p w14:paraId="78B12622" w14:textId="77777777" w:rsidR="004B21B1" w:rsidRPr="004B21B1" w:rsidRDefault="004B21B1" w:rsidP="00C44F1C">
            <w:pPr>
              <w:ind w:right="180"/>
              <w:jc w:val="both"/>
              <w:rPr>
                <w:bCs/>
                <w:lang w:eastAsia="lv-LV"/>
              </w:rPr>
            </w:pPr>
          </w:p>
          <w:p w14:paraId="3F10F1CB" w14:textId="77777777" w:rsidR="004B21B1" w:rsidRPr="004B21B1" w:rsidRDefault="004B21B1" w:rsidP="00C44F1C">
            <w:pPr>
              <w:ind w:right="180"/>
              <w:jc w:val="both"/>
              <w:rPr>
                <w:bCs/>
                <w:lang w:eastAsia="lv-LV"/>
              </w:rPr>
            </w:pPr>
            <w:r w:rsidRPr="004B21B1">
              <w:rPr>
                <w:bCs/>
                <w:lang w:eastAsia="lv-LV"/>
              </w:rPr>
              <w:t>Ikgadējais administratīvo izmaksu monetārais novērtējums no jauna reģistrētajām pārstāvniecībām un pārstāvniecībām, kurām patiesā labuma guvējs mainās (pieņemot, ka šādu gadījumu skaits ir aptuveni 15 gadā):</w:t>
            </w:r>
          </w:p>
          <w:p w14:paraId="0818D3F0" w14:textId="77777777" w:rsidR="004B21B1" w:rsidRPr="004B21B1" w:rsidRDefault="004B21B1" w:rsidP="00C44F1C">
            <w:pPr>
              <w:ind w:right="180"/>
              <w:jc w:val="both"/>
              <w:rPr>
                <w:bCs/>
                <w:lang w:eastAsia="lv-LV"/>
              </w:rPr>
            </w:pPr>
          </w:p>
          <w:p w14:paraId="3B8753D6" w14:textId="77777777" w:rsidR="004B21B1" w:rsidRPr="004B21B1" w:rsidRDefault="004B21B1" w:rsidP="00C44F1C">
            <w:pPr>
              <w:ind w:right="180"/>
              <w:jc w:val="both"/>
              <w:rPr>
                <w:bCs/>
                <w:lang w:eastAsia="lv-LV"/>
              </w:rPr>
            </w:pPr>
            <w:r w:rsidRPr="004B21B1">
              <w:rPr>
                <w:bCs/>
                <w:lang w:eastAsia="lv-LV"/>
              </w:rPr>
              <w:t xml:space="preserve">6.93 x 0.3 x 15 = 31.19 </w:t>
            </w:r>
            <w:proofErr w:type="spellStart"/>
            <w:r w:rsidRPr="00302A7D">
              <w:rPr>
                <w:bCs/>
                <w:i/>
                <w:lang w:eastAsia="lv-LV"/>
              </w:rPr>
              <w:t>euro</w:t>
            </w:r>
            <w:proofErr w:type="spellEnd"/>
            <w:r w:rsidRPr="00302A7D">
              <w:rPr>
                <w:bCs/>
                <w:i/>
                <w:lang w:eastAsia="lv-LV"/>
              </w:rPr>
              <w:t>.</w:t>
            </w:r>
          </w:p>
          <w:p w14:paraId="51A814AE" w14:textId="77777777" w:rsidR="004B21B1" w:rsidRPr="00FB30C9" w:rsidRDefault="004B21B1" w:rsidP="00C44F1C">
            <w:pPr>
              <w:ind w:right="180"/>
              <w:jc w:val="both"/>
              <w:rPr>
                <w:bCs/>
                <w:lang w:eastAsia="lv-LV"/>
              </w:rPr>
            </w:pPr>
          </w:p>
        </w:tc>
      </w:tr>
      <w:tr w:rsidR="00D10FB8" w:rsidRPr="00FB30C9" w14:paraId="0C0DE5D8" w14:textId="77777777" w:rsidTr="00C44F1C">
        <w:trPr>
          <w:trHeight w:val="839"/>
        </w:trPr>
        <w:tc>
          <w:tcPr>
            <w:tcW w:w="617" w:type="dxa"/>
          </w:tcPr>
          <w:p w14:paraId="0F0A884C" w14:textId="0C3736F6" w:rsidR="00D10FB8" w:rsidRDefault="00D10FB8" w:rsidP="00D10FB8">
            <w:pPr>
              <w:jc w:val="both"/>
            </w:pPr>
            <w:r>
              <w:lastRenderedPageBreak/>
              <w:t xml:space="preserve">9. </w:t>
            </w:r>
          </w:p>
        </w:tc>
        <w:tc>
          <w:tcPr>
            <w:tcW w:w="3489" w:type="dxa"/>
          </w:tcPr>
          <w:p w14:paraId="221B7797" w14:textId="365175C9" w:rsidR="006B71FF" w:rsidRDefault="0026067C" w:rsidP="00D10FB8">
            <w:pPr>
              <w:jc w:val="both"/>
              <w:rPr>
                <w:lang w:eastAsia="lv-LV"/>
              </w:rPr>
            </w:pPr>
            <w:r>
              <w:rPr>
                <w:lang w:eastAsia="lv-LV"/>
              </w:rPr>
              <w:t>Anotācija</w:t>
            </w:r>
          </w:p>
          <w:p w14:paraId="329A4E6F" w14:textId="77777777" w:rsidR="006B71FF" w:rsidRPr="006B71FF" w:rsidRDefault="006B71FF" w:rsidP="0026067C">
            <w:pPr>
              <w:rPr>
                <w:lang w:eastAsia="lv-LV"/>
              </w:rPr>
            </w:pPr>
          </w:p>
          <w:p w14:paraId="2EC03D7E" w14:textId="77777777" w:rsidR="006B71FF" w:rsidRPr="006B71FF" w:rsidRDefault="006B71FF" w:rsidP="0026067C">
            <w:pPr>
              <w:rPr>
                <w:lang w:eastAsia="lv-LV"/>
              </w:rPr>
            </w:pPr>
          </w:p>
          <w:p w14:paraId="4B7E0539" w14:textId="77777777" w:rsidR="006B71FF" w:rsidRPr="006B71FF" w:rsidRDefault="006B71FF" w:rsidP="0026067C">
            <w:pPr>
              <w:rPr>
                <w:lang w:eastAsia="lv-LV"/>
              </w:rPr>
            </w:pPr>
          </w:p>
          <w:p w14:paraId="28FD720F" w14:textId="77777777" w:rsidR="006B71FF" w:rsidRPr="006B71FF" w:rsidRDefault="006B71FF" w:rsidP="0026067C">
            <w:pPr>
              <w:rPr>
                <w:lang w:eastAsia="lv-LV"/>
              </w:rPr>
            </w:pPr>
          </w:p>
          <w:p w14:paraId="05FFB03E" w14:textId="77777777" w:rsidR="006B71FF" w:rsidRPr="006B71FF" w:rsidRDefault="006B71FF" w:rsidP="0026067C">
            <w:pPr>
              <w:rPr>
                <w:lang w:eastAsia="lv-LV"/>
              </w:rPr>
            </w:pPr>
          </w:p>
          <w:p w14:paraId="7F8C31E3" w14:textId="77777777" w:rsidR="006B71FF" w:rsidRPr="006B71FF" w:rsidRDefault="006B71FF" w:rsidP="0026067C">
            <w:pPr>
              <w:rPr>
                <w:lang w:eastAsia="lv-LV"/>
              </w:rPr>
            </w:pPr>
          </w:p>
          <w:p w14:paraId="270D21BC" w14:textId="77777777" w:rsidR="006B71FF" w:rsidRPr="006B71FF" w:rsidRDefault="006B71FF" w:rsidP="0026067C">
            <w:pPr>
              <w:rPr>
                <w:lang w:eastAsia="lv-LV"/>
              </w:rPr>
            </w:pPr>
          </w:p>
          <w:p w14:paraId="32184DE5" w14:textId="3DD3E64A" w:rsidR="006B71FF" w:rsidRDefault="006B71FF" w:rsidP="006B71FF">
            <w:pPr>
              <w:rPr>
                <w:lang w:eastAsia="lv-LV"/>
              </w:rPr>
            </w:pPr>
          </w:p>
          <w:p w14:paraId="0536792E" w14:textId="4F877B4B" w:rsidR="006E5294" w:rsidRDefault="006B71FF" w:rsidP="0026067C">
            <w:pPr>
              <w:tabs>
                <w:tab w:val="left" w:pos="555"/>
              </w:tabs>
              <w:rPr>
                <w:lang w:eastAsia="lv-LV"/>
              </w:rPr>
            </w:pPr>
            <w:r>
              <w:rPr>
                <w:lang w:eastAsia="lv-LV"/>
              </w:rPr>
              <w:tab/>
            </w:r>
          </w:p>
          <w:p w14:paraId="721A41CF" w14:textId="77777777" w:rsidR="006E5294" w:rsidRPr="006E5294" w:rsidRDefault="006E5294" w:rsidP="006E5294">
            <w:pPr>
              <w:rPr>
                <w:lang w:eastAsia="lv-LV"/>
              </w:rPr>
            </w:pPr>
          </w:p>
          <w:p w14:paraId="1B91D406" w14:textId="447FB39C" w:rsidR="00D10FB8" w:rsidRPr="006E5294" w:rsidRDefault="00D10FB8" w:rsidP="006E5294">
            <w:pPr>
              <w:ind w:firstLine="720"/>
              <w:rPr>
                <w:lang w:eastAsia="lv-LV"/>
              </w:rPr>
            </w:pPr>
          </w:p>
        </w:tc>
        <w:tc>
          <w:tcPr>
            <w:tcW w:w="4732" w:type="dxa"/>
          </w:tcPr>
          <w:p w14:paraId="6BF7763D" w14:textId="77777777" w:rsidR="00D10FB8" w:rsidRDefault="00D10FB8" w:rsidP="00D10FB8">
            <w:pPr>
              <w:jc w:val="both"/>
              <w:rPr>
                <w:b/>
              </w:rPr>
            </w:pPr>
            <w:r w:rsidRPr="00D70959">
              <w:rPr>
                <w:b/>
              </w:rPr>
              <w:t>Vides aizsardzības un reģionālās attīstības ministrija (</w:t>
            </w:r>
            <w:r>
              <w:rPr>
                <w:b/>
              </w:rPr>
              <w:t>29.09</w:t>
            </w:r>
            <w:r w:rsidRPr="00D70959">
              <w:rPr>
                <w:b/>
              </w:rPr>
              <w:t>.2020. Nr.1-22/8643)</w:t>
            </w:r>
          </w:p>
          <w:p w14:paraId="4E22DECC" w14:textId="77777777" w:rsidR="00D10FB8" w:rsidRPr="00BF6FD9" w:rsidRDefault="00D10FB8" w:rsidP="00D10FB8">
            <w:pPr>
              <w:jc w:val="both"/>
            </w:pPr>
            <w:r w:rsidRPr="00BF6FD9">
              <w:t>VARAM, iepazīstoties ar precizēto noteikumu projektu, anotāciju un izziņu par atzinumos sniegtajiem iebildumiem, secina, ka anotācijas I sadaļas 2. punkts nav papildināts ar pilnveidotā pakalpojuma nosaukumu. Ņemot vērā minēto, atkārtoti lūdzam anotācijas I sadaļas 2. punktu papildināt ar pilnveidotā pakalpojuma nosaukumu.</w:t>
            </w:r>
          </w:p>
          <w:p w14:paraId="12C79F9D" w14:textId="2572C533" w:rsidR="00D10FB8" w:rsidRPr="00DE314F" w:rsidRDefault="00D10FB8" w:rsidP="00D10FB8">
            <w:pPr>
              <w:jc w:val="both"/>
              <w:rPr>
                <w:b/>
              </w:rPr>
            </w:pPr>
            <w:r w:rsidRPr="00BF6FD9">
              <w:t xml:space="preserve">VARAM norāda, ka saskaņā ar Ministru kabineta 2009.gada 15.decembra instrukcijas </w:t>
            </w:r>
            <w:r w:rsidRPr="00BF6FD9">
              <w:lastRenderedPageBreak/>
              <w:t>Nr.19 “Tiesību akta projekta sākotnējās ietekmes izvērtēšanas kārtība” 14.4.apakšpunktu nepieciešams papildināt sākotnējā ietekmes novērtējuma ziņojuma I sadaļas 2. punktu, norādot pilnveidotā pakalpojuma nosaukumu un tā sniegšanas kanālus.</w:t>
            </w:r>
          </w:p>
        </w:tc>
        <w:tc>
          <w:tcPr>
            <w:tcW w:w="2497" w:type="dxa"/>
          </w:tcPr>
          <w:p w14:paraId="0F42FD70" w14:textId="35107974" w:rsidR="00D10FB8" w:rsidRPr="00DE314F" w:rsidRDefault="00D10FB8" w:rsidP="00D10FB8">
            <w:pPr>
              <w:jc w:val="both"/>
              <w:rPr>
                <w:b/>
                <w:bCs/>
              </w:rPr>
            </w:pPr>
            <w:r>
              <w:rPr>
                <w:b/>
                <w:bCs/>
              </w:rPr>
              <w:lastRenderedPageBreak/>
              <w:t>Iebildums ņ</w:t>
            </w:r>
            <w:r w:rsidRPr="00F77E03">
              <w:rPr>
                <w:b/>
                <w:bCs/>
              </w:rPr>
              <w:t>emts vērā.</w:t>
            </w:r>
          </w:p>
        </w:tc>
        <w:tc>
          <w:tcPr>
            <w:tcW w:w="2922" w:type="dxa"/>
          </w:tcPr>
          <w:p w14:paraId="5410163B" w14:textId="5D5036AA" w:rsidR="00D10FB8" w:rsidRDefault="00D10FB8" w:rsidP="00D10FB8">
            <w:pPr>
              <w:ind w:right="180"/>
              <w:jc w:val="both"/>
              <w:rPr>
                <w:bCs/>
                <w:lang w:eastAsia="lv-LV"/>
              </w:rPr>
            </w:pPr>
            <w:r>
              <w:rPr>
                <w:bCs/>
                <w:lang w:eastAsia="lv-LV"/>
              </w:rPr>
              <w:t>P</w:t>
            </w:r>
            <w:r w:rsidRPr="001F47CF">
              <w:rPr>
                <w:bCs/>
                <w:lang w:eastAsia="lv-LV"/>
              </w:rPr>
              <w:t>apildināt</w:t>
            </w:r>
            <w:r>
              <w:rPr>
                <w:bCs/>
                <w:lang w:eastAsia="lv-LV"/>
              </w:rPr>
              <w:t>s</w:t>
            </w:r>
            <w:r>
              <w:t xml:space="preserve"> </w:t>
            </w:r>
            <w:r>
              <w:rPr>
                <w:bCs/>
                <w:lang w:eastAsia="lv-LV"/>
              </w:rPr>
              <w:t xml:space="preserve">anotācijas I sadaļas 2.punkts ar </w:t>
            </w:r>
            <w:r w:rsidR="00C53886">
              <w:rPr>
                <w:bCs/>
                <w:lang w:eastAsia="lv-LV"/>
              </w:rPr>
              <w:t>20</w:t>
            </w:r>
            <w:r>
              <w:rPr>
                <w:bCs/>
                <w:lang w:eastAsia="lv-LV"/>
              </w:rPr>
              <w:t xml:space="preserve">.rindkopu (5.lpp.) šādā </w:t>
            </w:r>
            <w:r w:rsidRPr="001F47CF">
              <w:rPr>
                <w:bCs/>
                <w:lang w:eastAsia="lv-LV"/>
              </w:rPr>
              <w:t>redakcijā:</w:t>
            </w:r>
          </w:p>
          <w:p w14:paraId="0831AD07" w14:textId="77777777" w:rsidR="00D10FB8" w:rsidRDefault="00D10FB8" w:rsidP="00D10FB8">
            <w:pPr>
              <w:ind w:right="180"/>
              <w:jc w:val="both"/>
              <w:rPr>
                <w:bCs/>
                <w:lang w:eastAsia="lv-LV"/>
              </w:rPr>
            </w:pPr>
          </w:p>
          <w:p w14:paraId="46BFCBED" w14:textId="08E7EC0A" w:rsidR="00D10FB8" w:rsidRDefault="00D10FB8" w:rsidP="00C53886">
            <w:pPr>
              <w:ind w:right="180"/>
              <w:jc w:val="both"/>
              <w:rPr>
                <w:bCs/>
                <w:lang w:eastAsia="lv-LV"/>
              </w:rPr>
            </w:pPr>
            <w:r>
              <w:rPr>
                <w:bCs/>
                <w:lang w:eastAsia="lv-LV"/>
              </w:rPr>
              <w:t>“</w:t>
            </w:r>
            <w:r w:rsidR="00C53886" w:rsidRPr="00C53886">
              <w:rPr>
                <w:bCs/>
                <w:lang w:eastAsia="lv-LV"/>
              </w:rPr>
              <w:t>VID informācijas par patiesajiem labuma guvējiem sniegšana tiks nodrošināta, izman</w:t>
            </w:r>
            <w:r w:rsidR="00962876">
              <w:rPr>
                <w:bCs/>
                <w:lang w:eastAsia="lv-LV"/>
              </w:rPr>
              <w:t xml:space="preserve">tojot VID sniedzamo pakalpojumu </w:t>
            </w:r>
            <w:r w:rsidR="00C53886" w:rsidRPr="00C53886">
              <w:rPr>
                <w:bCs/>
                <w:lang w:eastAsia="lv-LV"/>
              </w:rPr>
              <w:t xml:space="preserve">“Nerezidentu (ārvalsts </w:t>
            </w:r>
            <w:r w:rsidR="00C53886" w:rsidRPr="00C53886">
              <w:rPr>
                <w:bCs/>
                <w:lang w:eastAsia="lv-LV"/>
              </w:rPr>
              <w:lastRenderedPageBreak/>
              <w:t>komersantu) pastāvīgo pārstāvniecību Latvijā reģistrācija”.</w:t>
            </w:r>
          </w:p>
          <w:p w14:paraId="18017C65" w14:textId="1D7AB0C3" w:rsidR="00C53886" w:rsidRDefault="00253D4E" w:rsidP="0026067C">
            <w:pPr>
              <w:ind w:right="180"/>
              <w:jc w:val="both"/>
              <w:rPr>
                <w:bCs/>
                <w:lang w:eastAsia="lv-LV"/>
              </w:rPr>
            </w:pPr>
            <w:r w:rsidRPr="00253D4E">
              <w:rPr>
                <w:bCs/>
                <w:lang w:eastAsia="lv-LV"/>
              </w:rPr>
              <w:t xml:space="preserve">Pēc noteikumu projekta spēkā stāšanās tiks nodrošināta </w:t>
            </w:r>
            <w:r w:rsidR="0026067C">
              <w:rPr>
                <w:bCs/>
                <w:lang w:eastAsia="lv-LV"/>
              </w:rPr>
              <w:t xml:space="preserve">šāda </w:t>
            </w:r>
            <w:r w:rsidRPr="00253D4E">
              <w:rPr>
                <w:bCs/>
                <w:lang w:eastAsia="lv-LV"/>
              </w:rPr>
              <w:t xml:space="preserve">pakalpojuma </w:t>
            </w:r>
            <w:r w:rsidR="0026067C">
              <w:rPr>
                <w:bCs/>
                <w:lang w:eastAsia="lv-LV"/>
              </w:rPr>
              <w:t xml:space="preserve">veida izveidošana </w:t>
            </w:r>
            <w:r>
              <w:rPr>
                <w:bCs/>
                <w:lang w:eastAsia="lv-LV"/>
              </w:rPr>
              <w:t xml:space="preserve">un tā ievietošana </w:t>
            </w:r>
            <w:r w:rsidRPr="00253D4E">
              <w:rPr>
                <w:bCs/>
                <w:lang w:eastAsia="lv-LV"/>
              </w:rPr>
              <w:t>valsts pārvaldes pakalpojumu portālā Latvija.lv.</w:t>
            </w:r>
          </w:p>
        </w:tc>
      </w:tr>
    </w:tbl>
    <w:p w14:paraId="5E61B9CD" w14:textId="78281A98" w:rsidR="001F00DF" w:rsidRPr="003D63C1" w:rsidRDefault="00C44F1C" w:rsidP="00B67EA7">
      <w:pPr>
        <w:ind w:firstLine="720"/>
        <w:jc w:val="both"/>
      </w:pPr>
      <w:r>
        <w:lastRenderedPageBreak/>
        <w:br w:type="textWrapping" w:clear="all"/>
      </w:r>
    </w:p>
    <w:p w14:paraId="6621C630" w14:textId="77777777" w:rsidR="001F00DF" w:rsidRPr="003D63C1" w:rsidRDefault="001F00DF" w:rsidP="001C0E3D">
      <w:pPr>
        <w:jc w:val="both"/>
      </w:pPr>
      <w:r w:rsidRPr="003D63C1">
        <w:t xml:space="preserve">Atbildīgā amatpersona </w:t>
      </w:r>
      <w:r w:rsidRPr="003D63C1">
        <w:tab/>
      </w:r>
      <w:r w:rsidRPr="003D63C1">
        <w:tab/>
      </w:r>
      <w:r w:rsidRPr="003D63C1">
        <w:tab/>
      </w:r>
      <w:r w:rsidRPr="003D63C1">
        <w:tab/>
      </w:r>
      <w:r w:rsidRPr="003D63C1">
        <w:tab/>
      </w:r>
      <w:r w:rsidRPr="003D63C1">
        <w:tab/>
      </w:r>
      <w:r w:rsidRPr="003D63C1">
        <w:tab/>
      </w:r>
      <w:r w:rsidRPr="003D63C1">
        <w:tab/>
      </w:r>
      <w:r w:rsidRPr="003D63C1">
        <w:tab/>
      </w:r>
      <w:r w:rsidRPr="003D63C1">
        <w:tab/>
      </w:r>
      <w:r w:rsidRPr="003D63C1">
        <w:tab/>
      </w:r>
      <w:proofErr w:type="spellStart"/>
      <w:r w:rsidR="00FA728D">
        <w:t>M.Kalniņš</w:t>
      </w:r>
      <w:proofErr w:type="spellEnd"/>
    </w:p>
    <w:p w14:paraId="38BCFBAD" w14:textId="77777777" w:rsidR="00FA728D" w:rsidRDefault="00FA728D" w:rsidP="001F00DF">
      <w:bookmarkStart w:id="1" w:name="_MailAutoSig"/>
      <w:r w:rsidRPr="00FA728D">
        <w:t xml:space="preserve">Valsts ieņēmumu dienesta </w:t>
      </w:r>
    </w:p>
    <w:p w14:paraId="450FE654" w14:textId="77777777" w:rsidR="00FA728D" w:rsidRDefault="00FA728D" w:rsidP="001F00DF">
      <w:r w:rsidRPr="00FA728D">
        <w:t>Nodokļu pārvaldes direktora vietnieks</w:t>
      </w:r>
    </w:p>
    <w:p w14:paraId="0E03ED20" w14:textId="77777777" w:rsidR="007408A3" w:rsidRPr="003D63C1" w:rsidRDefault="00FA728D" w:rsidP="001F00DF">
      <w:r w:rsidRPr="00FA728D">
        <w:t>67121786</w:t>
      </w:r>
      <w:r w:rsidR="00535D84" w:rsidRPr="003D63C1">
        <w:t xml:space="preserve"> </w:t>
      </w:r>
    </w:p>
    <w:bookmarkEnd w:id="1"/>
    <w:p w14:paraId="47AC987A" w14:textId="77777777" w:rsidR="00102529" w:rsidRPr="003D63C1" w:rsidRDefault="0051347A" w:rsidP="00FA728D">
      <w:r>
        <w:fldChar w:fldCharType="begin"/>
      </w:r>
      <w:r w:rsidR="00FA728D">
        <w:instrText xml:space="preserve"> HYPERLINK "mailto:</w:instrText>
      </w:r>
      <w:r w:rsidR="00FA728D" w:rsidRPr="00FA728D">
        <w:instrText>Martins.Kalnins@vid.gov.lv</w:instrText>
      </w:r>
      <w:r w:rsidR="00FA728D">
        <w:instrText xml:space="preserve">" </w:instrText>
      </w:r>
      <w:r>
        <w:fldChar w:fldCharType="separate"/>
      </w:r>
      <w:r w:rsidR="00FA728D" w:rsidRPr="007D49AE">
        <w:rPr>
          <w:rStyle w:val="Hyperlink"/>
        </w:rPr>
        <w:t>Martins.Kalnins@vid.gov.lv</w:t>
      </w:r>
      <w:r>
        <w:fldChar w:fldCharType="end"/>
      </w:r>
      <w:r w:rsidR="00FA728D">
        <w:t xml:space="preserve"> </w:t>
      </w:r>
    </w:p>
    <w:sectPr w:rsidR="00102529" w:rsidRPr="003D63C1" w:rsidSect="00CA43B9">
      <w:headerReference w:type="default" r:id="rId9"/>
      <w:footerReference w:type="default" r:id="rId10"/>
      <w:footerReference w:type="first" r:id="rId11"/>
      <w:pgSz w:w="15840" w:h="12240" w:orient="landscape" w:code="1"/>
      <w:pgMar w:top="1134" w:right="851" w:bottom="426" w:left="1701" w:header="720" w:footer="9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6768A" w14:textId="77777777" w:rsidR="005B1B08" w:rsidRDefault="005B1B08" w:rsidP="002F37E0">
      <w:r>
        <w:separator/>
      </w:r>
    </w:p>
  </w:endnote>
  <w:endnote w:type="continuationSeparator" w:id="0">
    <w:p w14:paraId="5BD9EAEC" w14:textId="77777777" w:rsidR="005B1B08" w:rsidRDefault="005B1B08" w:rsidP="002F3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B856B" w14:textId="665C3D3E" w:rsidR="00373950" w:rsidRPr="0039637B" w:rsidRDefault="00373950" w:rsidP="00373950">
    <w:pPr>
      <w:tabs>
        <w:tab w:val="left" w:pos="7440"/>
      </w:tabs>
      <w:rPr>
        <w:b/>
      </w:rPr>
    </w:pPr>
    <w:r w:rsidRPr="001B64AB">
      <w:rPr>
        <w:sz w:val="20"/>
        <w:szCs w:val="20"/>
      </w:rPr>
      <w:t>FMIzz_</w:t>
    </w:r>
    <w:r w:rsidR="006E5294">
      <w:rPr>
        <w:sz w:val="20"/>
        <w:szCs w:val="20"/>
      </w:rPr>
      <w:t>2</w:t>
    </w:r>
    <w:r w:rsidR="00901230">
      <w:rPr>
        <w:sz w:val="20"/>
        <w:szCs w:val="20"/>
      </w:rPr>
      <w:t>6</w:t>
    </w:r>
    <w:r w:rsidR="006E5294">
      <w:rPr>
        <w:sz w:val="20"/>
        <w:szCs w:val="20"/>
      </w:rPr>
      <w:t>1020</w:t>
    </w:r>
    <w:r>
      <w:rPr>
        <w:sz w:val="20"/>
        <w:szCs w:val="20"/>
      </w:rPr>
      <w:t>_MK_537</w:t>
    </w:r>
  </w:p>
  <w:p w14:paraId="540A2121" w14:textId="77777777" w:rsidR="00E0402D" w:rsidRPr="00FC101D" w:rsidRDefault="00E0402D" w:rsidP="00FC10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7EFE4" w14:textId="2EDB6345" w:rsidR="00E0402D" w:rsidRPr="0039637B" w:rsidRDefault="001B64AB" w:rsidP="001B64AB">
    <w:pPr>
      <w:tabs>
        <w:tab w:val="left" w:pos="7440"/>
      </w:tabs>
      <w:rPr>
        <w:b/>
      </w:rPr>
    </w:pPr>
    <w:r w:rsidRPr="001B64AB">
      <w:rPr>
        <w:sz w:val="20"/>
        <w:szCs w:val="20"/>
      </w:rPr>
      <w:t>FMIzz_</w:t>
    </w:r>
    <w:r w:rsidR="006E5294">
      <w:rPr>
        <w:sz w:val="20"/>
        <w:szCs w:val="20"/>
      </w:rPr>
      <w:t>2</w:t>
    </w:r>
    <w:r w:rsidR="00901230">
      <w:rPr>
        <w:sz w:val="20"/>
        <w:szCs w:val="20"/>
      </w:rPr>
      <w:t>6</w:t>
    </w:r>
    <w:r w:rsidR="006E5294">
      <w:rPr>
        <w:sz w:val="20"/>
        <w:szCs w:val="20"/>
      </w:rPr>
      <w:t>1020</w:t>
    </w:r>
    <w:r w:rsidR="00373950">
      <w:rPr>
        <w:sz w:val="20"/>
        <w:szCs w:val="20"/>
      </w:rPr>
      <w:t>_MK_537</w:t>
    </w:r>
  </w:p>
  <w:p w14:paraId="67DABBDE" w14:textId="77777777" w:rsidR="00E0402D" w:rsidRDefault="00E0402D" w:rsidP="002F37E0">
    <w:pPr>
      <w:jc w:val="both"/>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A28D0" w14:textId="77777777" w:rsidR="005B1B08" w:rsidRDefault="005B1B08" w:rsidP="002F37E0">
      <w:r>
        <w:separator/>
      </w:r>
    </w:p>
  </w:footnote>
  <w:footnote w:type="continuationSeparator" w:id="0">
    <w:p w14:paraId="3B4D22F5" w14:textId="77777777" w:rsidR="005B1B08" w:rsidRDefault="005B1B08" w:rsidP="002F3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2726857"/>
      <w:docPartObj>
        <w:docPartGallery w:val="Page Numbers (Top of Page)"/>
        <w:docPartUnique/>
      </w:docPartObj>
    </w:sdtPr>
    <w:sdtEndPr>
      <w:rPr>
        <w:noProof/>
      </w:rPr>
    </w:sdtEndPr>
    <w:sdtContent>
      <w:p w14:paraId="60EA2988" w14:textId="7606C4C3" w:rsidR="00E0402D" w:rsidRDefault="0051347A">
        <w:pPr>
          <w:pStyle w:val="Header"/>
          <w:jc w:val="center"/>
        </w:pPr>
        <w:r>
          <w:fldChar w:fldCharType="begin"/>
        </w:r>
        <w:r w:rsidR="00E0402D">
          <w:instrText xml:space="preserve"> PAGE   \* MERGEFORMAT </w:instrText>
        </w:r>
        <w:r>
          <w:fldChar w:fldCharType="separate"/>
        </w:r>
        <w:r w:rsidR="00D660FE">
          <w:rPr>
            <w:noProof/>
          </w:rPr>
          <w:t>13</w:t>
        </w:r>
        <w:r>
          <w:rPr>
            <w:noProof/>
          </w:rPr>
          <w:fldChar w:fldCharType="end"/>
        </w:r>
      </w:p>
    </w:sdtContent>
  </w:sdt>
  <w:p w14:paraId="12481ED3" w14:textId="77777777" w:rsidR="00E0402D" w:rsidRDefault="00E040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2310"/>
    <w:multiLevelType w:val="hybridMultilevel"/>
    <w:tmpl w:val="CC126A6A"/>
    <w:lvl w:ilvl="0" w:tplc="E2E292D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15:restartNumberingAfterBreak="0">
    <w:nsid w:val="0B9B7B7B"/>
    <w:multiLevelType w:val="hybridMultilevel"/>
    <w:tmpl w:val="EEBAFB0E"/>
    <w:lvl w:ilvl="0" w:tplc="04260001">
      <w:start w:val="1"/>
      <w:numFmt w:val="bullet"/>
      <w:lvlText w:val=""/>
      <w:lvlJc w:val="left"/>
      <w:pPr>
        <w:ind w:left="1713" w:hanging="360"/>
      </w:pPr>
      <w:rPr>
        <w:rFonts w:ascii="Symbol" w:hAnsi="Symbol"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2" w15:restartNumberingAfterBreak="0">
    <w:nsid w:val="0D2F7981"/>
    <w:multiLevelType w:val="hybridMultilevel"/>
    <w:tmpl w:val="89D099BC"/>
    <w:lvl w:ilvl="0" w:tplc="C2C8F1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04E454C"/>
    <w:multiLevelType w:val="hybridMultilevel"/>
    <w:tmpl w:val="E18070D2"/>
    <w:lvl w:ilvl="0" w:tplc="E5F226CC">
      <w:start w:val="1"/>
      <w:numFmt w:val="decimal"/>
      <w:lvlText w:val="%1)"/>
      <w:lvlJc w:val="left"/>
      <w:pPr>
        <w:ind w:left="1080" w:hanging="360"/>
      </w:pPr>
      <w:rPr>
        <w:rFonts w:hint="default"/>
      </w:rPr>
    </w:lvl>
    <w:lvl w:ilvl="1" w:tplc="CEBEECE0" w:tentative="1">
      <w:start w:val="1"/>
      <w:numFmt w:val="lowerLetter"/>
      <w:lvlText w:val="%2."/>
      <w:lvlJc w:val="left"/>
      <w:pPr>
        <w:ind w:left="1800" w:hanging="360"/>
      </w:pPr>
    </w:lvl>
    <w:lvl w:ilvl="2" w:tplc="07F241A0" w:tentative="1">
      <w:start w:val="1"/>
      <w:numFmt w:val="lowerRoman"/>
      <w:lvlText w:val="%3."/>
      <w:lvlJc w:val="right"/>
      <w:pPr>
        <w:ind w:left="2520" w:hanging="180"/>
      </w:pPr>
    </w:lvl>
    <w:lvl w:ilvl="3" w:tplc="0888CCC2" w:tentative="1">
      <w:start w:val="1"/>
      <w:numFmt w:val="decimal"/>
      <w:lvlText w:val="%4."/>
      <w:lvlJc w:val="left"/>
      <w:pPr>
        <w:ind w:left="3240" w:hanging="360"/>
      </w:pPr>
    </w:lvl>
    <w:lvl w:ilvl="4" w:tplc="D550EF12" w:tentative="1">
      <w:start w:val="1"/>
      <w:numFmt w:val="lowerLetter"/>
      <w:lvlText w:val="%5."/>
      <w:lvlJc w:val="left"/>
      <w:pPr>
        <w:ind w:left="3960" w:hanging="360"/>
      </w:pPr>
    </w:lvl>
    <w:lvl w:ilvl="5" w:tplc="480ED8D0" w:tentative="1">
      <w:start w:val="1"/>
      <w:numFmt w:val="lowerRoman"/>
      <w:lvlText w:val="%6."/>
      <w:lvlJc w:val="right"/>
      <w:pPr>
        <w:ind w:left="4680" w:hanging="180"/>
      </w:pPr>
    </w:lvl>
    <w:lvl w:ilvl="6" w:tplc="37E81850" w:tentative="1">
      <w:start w:val="1"/>
      <w:numFmt w:val="decimal"/>
      <w:lvlText w:val="%7."/>
      <w:lvlJc w:val="left"/>
      <w:pPr>
        <w:ind w:left="5400" w:hanging="360"/>
      </w:pPr>
    </w:lvl>
    <w:lvl w:ilvl="7" w:tplc="26528FA2" w:tentative="1">
      <w:start w:val="1"/>
      <w:numFmt w:val="lowerLetter"/>
      <w:lvlText w:val="%8."/>
      <w:lvlJc w:val="left"/>
      <w:pPr>
        <w:ind w:left="6120" w:hanging="360"/>
      </w:pPr>
    </w:lvl>
    <w:lvl w:ilvl="8" w:tplc="BE622CC0" w:tentative="1">
      <w:start w:val="1"/>
      <w:numFmt w:val="lowerRoman"/>
      <w:lvlText w:val="%9."/>
      <w:lvlJc w:val="right"/>
      <w:pPr>
        <w:ind w:left="6840" w:hanging="180"/>
      </w:pPr>
    </w:lvl>
  </w:abstractNum>
  <w:abstractNum w:abstractNumId="4" w15:restartNumberingAfterBreak="0">
    <w:nsid w:val="25846254"/>
    <w:multiLevelType w:val="hybridMultilevel"/>
    <w:tmpl w:val="A5CAE5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6460812"/>
    <w:multiLevelType w:val="hybridMultilevel"/>
    <w:tmpl w:val="489CE90A"/>
    <w:lvl w:ilvl="0" w:tplc="A5F4FDA0">
      <w:start w:val="1"/>
      <w:numFmt w:val="decimal"/>
      <w:lvlText w:val="%1."/>
      <w:lvlJc w:val="left"/>
      <w:pPr>
        <w:ind w:left="2629" w:hanging="360"/>
      </w:pPr>
      <w:rPr>
        <w:rFonts w:ascii="Times New Roman" w:eastAsia="Calibr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B90794A"/>
    <w:multiLevelType w:val="multilevel"/>
    <w:tmpl w:val="0426001F"/>
    <w:lvl w:ilvl="0">
      <w:start w:val="1"/>
      <w:numFmt w:val="decimal"/>
      <w:lvlText w:val="%1."/>
      <w:lvlJc w:val="left"/>
      <w:pPr>
        <w:ind w:left="1211" w:hanging="360"/>
      </w:pPr>
    </w:lvl>
    <w:lvl w:ilvl="1">
      <w:start w:val="1"/>
      <w:numFmt w:val="decimal"/>
      <w:lvlText w:val="%1.%2."/>
      <w:lvlJc w:val="left"/>
      <w:pPr>
        <w:ind w:left="933" w:hanging="432"/>
      </w:pPr>
    </w:lvl>
    <w:lvl w:ilvl="2">
      <w:start w:val="1"/>
      <w:numFmt w:val="decimal"/>
      <w:lvlText w:val="%1.%2.%3."/>
      <w:lvlJc w:val="left"/>
      <w:pPr>
        <w:ind w:left="1365" w:hanging="504"/>
      </w:pPr>
    </w:lvl>
    <w:lvl w:ilvl="3">
      <w:start w:val="1"/>
      <w:numFmt w:val="decimal"/>
      <w:lvlText w:val="%1.%2.%3.%4."/>
      <w:lvlJc w:val="left"/>
      <w:pPr>
        <w:ind w:left="1869" w:hanging="648"/>
      </w:pPr>
    </w:lvl>
    <w:lvl w:ilvl="4">
      <w:start w:val="1"/>
      <w:numFmt w:val="decimal"/>
      <w:lvlText w:val="%1.%2.%3.%4.%5."/>
      <w:lvlJc w:val="left"/>
      <w:pPr>
        <w:ind w:left="2373" w:hanging="792"/>
      </w:pPr>
    </w:lvl>
    <w:lvl w:ilvl="5">
      <w:start w:val="1"/>
      <w:numFmt w:val="decimal"/>
      <w:lvlText w:val="%1.%2.%3.%4.%5.%6."/>
      <w:lvlJc w:val="left"/>
      <w:pPr>
        <w:ind w:left="2877" w:hanging="936"/>
      </w:pPr>
    </w:lvl>
    <w:lvl w:ilvl="6">
      <w:start w:val="1"/>
      <w:numFmt w:val="decimal"/>
      <w:lvlText w:val="%1.%2.%3.%4.%5.%6.%7."/>
      <w:lvlJc w:val="left"/>
      <w:pPr>
        <w:ind w:left="3381" w:hanging="1080"/>
      </w:pPr>
    </w:lvl>
    <w:lvl w:ilvl="7">
      <w:start w:val="1"/>
      <w:numFmt w:val="decimal"/>
      <w:lvlText w:val="%1.%2.%3.%4.%5.%6.%7.%8."/>
      <w:lvlJc w:val="left"/>
      <w:pPr>
        <w:ind w:left="3885" w:hanging="1224"/>
      </w:pPr>
    </w:lvl>
    <w:lvl w:ilvl="8">
      <w:start w:val="1"/>
      <w:numFmt w:val="decimal"/>
      <w:lvlText w:val="%1.%2.%3.%4.%5.%6.%7.%8.%9."/>
      <w:lvlJc w:val="left"/>
      <w:pPr>
        <w:ind w:left="4461" w:hanging="1440"/>
      </w:pPr>
    </w:lvl>
  </w:abstractNum>
  <w:abstractNum w:abstractNumId="7" w15:restartNumberingAfterBreak="0">
    <w:nsid w:val="341F38CC"/>
    <w:multiLevelType w:val="hybridMultilevel"/>
    <w:tmpl w:val="D74E5D42"/>
    <w:lvl w:ilvl="0" w:tplc="CECA95D2">
      <w:start w:val="1"/>
      <w:numFmt w:val="decimal"/>
      <w:lvlText w:val="%1)"/>
      <w:lvlJc w:val="left"/>
      <w:pPr>
        <w:ind w:left="1211" w:hanging="360"/>
      </w:pPr>
      <w:rPr>
        <w:rFonts w:ascii="Times New Roman" w:eastAsia="Calibri" w:hAnsi="Times New Roman" w:cs="Times New Roman"/>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8" w15:restartNumberingAfterBreak="0">
    <w:nsid w:val="35CD3B22"/>
    <w:multiLevelType w:val="hybridMultilevel"/>
    <w:tmpl w:val="19CE5BBA"/>
    <w:lvl w:ilvl="0" w:tplc="0426000F">
      <w:start w:val="8"/>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BA26ECA"/>
    <w:multiLevelType w:val="hybridMultilevel"/>
    <w:tmpl w:val="19F67220"/>
    <w:lvl w:ilvl="0" w:tplc="C36A6362">
      <w:start w:val="1"/>
      <w:numFmt w:val="decimal"/>
      <w:lvlText w:val="%1."/>
      <w:lvlJc w:val="left"/>
      <w:pPr>
        <w:ind w:left="1440" w:hanging="72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0" w15:restartNumberingAfterBreak="0">
    <w:nsid w:val="3F8E65E7"/>
    <w:multiLevelType w:val="hybridMultilevel"/>
    <w:tmpl w:val="489CE90A"/>
    <w:lvl w:ilvl="0" w:tplc="A5F4FDA0">
      <w:start w:val="1"/>
      <w:numFmt w:val="decimal"/>
      <w:lvlText w:val="%1."/>
      <w:lvlJc w:val="left"/>
      <w:pPr>
        <w:ind w:left="2629" w:hanging="360"/>
      </w:pPr>
      <w:rPr>
        <w:rFonts w:ascii="Times New Roman" w:eastAsia="Calibr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42C116C6"/>
    <w:multiLevelType w:val="hybridMultilevel"/>
    <w:tmpl w:val="121AED88"/>
    <w:lvl w:ilvl="0" w:tplc="AFDC155E">
      <w:start w:val="1"/>
      <w:numFmt w:val="decimal"/>
      <w:lvlText w:val="%1."/>
      <w:lvlJc w:val="left"/>
      <w:pPr>
        <w:ind w:left="720" w:hanging="360"/>
      </w:pPr>
      <w:rPr>
        <w:rFonts w:hint="default"/>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7861197"/>
    <w:multiLevelType w:val="hybridMultilevel"/>
    <w:tmpl w:val="19CE5BBA"/>
    <w:lvl w:ilvl="0" w:tplc="0426000F">
      <w:start w:val="8"/>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48E2541"/>
    <w:multiLevelType w:val="hybridMultilevel"/>
    <w:tmpl w:val="DFA452BC"/>
    <w:lvl w:ilvl="0" w:tplc="F900025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6B1D0337"/>
    <w:multiLevelType w:val="hybridMultilevel"/>
    <w:tmpl w:val="A4EEAE10"/>
    <w:lvl w:ilvl="0" w:tplc="F34C6240">
      <w:start w:val="1"/>
      <w:numFmt w:val="decimal"/>
      <w:lvlText w:val="%1."/>
      <w:lvlJc w:val="left"/>
      <w:pPr>
        <w:ind w:left="1440" w:hanging="72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5" w15:restartNumberingAfterBreak="0">
    <w:nsid w:val="6DBC21F8"/>
    <w:multiLevelType w:val="hybridMultilevel"/>
    <w:tmpl w:val="E18070D2"/>
    <w:lvl w:ilvl="0" w:tplc="E5F226CC">
      <w:start w:val="1"/>
      <w:numFmt w:val="decimal"/>
      <w:lvlText w:val="%1)"/>
      <w:lvlJc w:val="left"/>
      <w:pPr>
        <w:ind w:left="1080" w:hanging="360"/>
      </w:pPr>
      <w:rPr>
        <w:rFonts w:hint="default"/>
      </w:rPr>
    </w:lvl>
    <w:lvl w:ilvl="1" w:tplc="CEBEECE0" w:tentative="1">
      <w:start w:val="1"/>
      <w:numFmt w:val="lowerLetter"/>
      <w:lvlText w:val="%2."/>
      <w:lvlJc w:val="left"/>
      <w:pPr>
        <w:ind w:left="1800" w:hanging="360"/>
      </w:pPr>
    </w:lvl>
    <w:lvl w:ilvl="2" w:tplc="07F241A0" w:tentative="1">
      <w:start w:val="1"/>
      <w:numFmt w:val="lowerRoman"/>
      <w:lvlText w:val="%3."/>
      <w:lvlJc w:val="right"/>
      <w:pPr>
        <w:ind w:left="2520" w:hanging="180"/>
      </w:pPr>
    </w:lvl>
    <w:lvl w:ilvl="3" w:tplc="0888CCC2" w:tentative="1">
      <w:start w:val="1"/>
      <w:numFmt w:val="decimal"/>
      <w:lvlText w:val="%4."/>
      <w:lvlJc w:val="left"/>
      <w:pPr>
        <w:ind w:left="3240" w:hanging="360"/>
      </w:pPr>
    </w:lvl>
    <w:lvl w:ilvl="4" w:tplc="D550EF12" w:tentative="1">
      <w:start w:val="1"/>
      <w:numFmt w:val="lowerLetter"/>
      <w:lvlText w:val="%5."/>
      <w:lvlJc w:val="left"/>
      <w:pPr>
        <w:ind w:left="3960" w:hanging="360"/>
      </w:pPr>
    </w:lvl>
    <w:lvl w:ilvl="5" w:tplc="480ED8D0" w:tentative="1">
      <w:start w:val="1"/>
      <w:numFmt w:val="lowerRoman"/>
      <w:lvlText w:val="%6."/>
      <w:lvlJc w:val="right"/>
      <w:pPr>
        <w:ind w:left="4680" w:hanging="180"/>
      </w:pPr>
    </w:lvl>
    <w:lvl w:ilvl="6" w:tplc="37E81850" w:tentative="1">
      <w:start w:val="1"/>
      <w:numFmt w:val="decimal"/>
      <w:lvlText w:val="%7."/>
      <w:lvlJc w:val="left"/>
      <w:pPr>
        <w:ind w:left="5400" w:hanging="360"/>
      </w:pPr>
    </w:lvl>
    <w:lvl w:ilvl="7" w:tplc="26528FA2" w:tentative="1">
      <w:start w:val="1"/>
      <w:numFmt w:val="lowerLetter"/>
      <w:lvlText w:val="%8."/>
      <w:lvlJc w:val="left"/>
      <w:pPr>
        <w:ind w:left="6120" w:hanging="360"/>
      </w:pPr>
    </w:lvl>
    <w:lvl w:ilvl="8" w:tplc="BE622CC0" w:tentative="1">
      <w:start w:val="1"/>
      <w:numFmt w:val="lowerRoman"/>
      <w:lvlText w:val="%9."/>
      <w:lvlJc w:val="right"/>
      <w:pPr>
        <w:ind w:left="6840" w:hanging="180"/>
      </w:pPr>
    </w:lvl>
  </w:abstractNum>
  <w:abstractNum w:abstractNumId="16" w15:restartNumberingAfterBreak="0">
    <w:nsid w:val="72474D0D"/>
    <w:multiLevelType w:val="hybridMultilevel"/>
    <w:tmpl w:val="80CEC0EC"/>
    <w:lvl w:ilvl="0" w:tplc="37E25F54">
      <w:start w:val="1"/>
      <w:numFmt w:val="decimal"/>
      <w:lvlText w:val="%1."/>
      <w:lvlJc w:val="left"/>
      <w:pPr>
        <w:ind w:left="720" w:hanging="360"/>
      </w:pPr>
      <w:rPr>
        <w:color w:val="1F386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785B00E4"/>
    <w:multiLevelType w:val="hybridMultilevel"/>
    <w:tmpl w:val="19F67220"/>
    <w:lvl w:ilvl="0" w:tplc="C36A6362">
      <w:start w:val="1"/>
      <w:numFmt w:val="decimal"/>
      <w:lvlText w:val="%1."/>
      <w:lvlJc w:val="left"/>
      <w:pPr>
        <w:ind w:left="1440" w:hanging="72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7"/>
  </w:num>
  <w:num w:numId="2">
    <w:abstractNumId w:val="4"/>
  </w:num>
  <w:num w:numId="3">
    <w:abstractNumId w:val="5"/>
  </w:num>
  <w:num w:numId="4">
    <w:abstractNumId w:val="1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7"/>
  </w:num>
  <w:num w:numId="8">
    <w:abstractNumId w:val="11"/>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
  </w:num>
  <w:num w:numId="15">
    <w:abstractNumId w:val="6"/>
  </w:num>
  <w:num w:numId="16">
    <w:abstractNumId w:val="12"/>
  </w:num>
  <w:num w:numId="17">
    <w:abstractNumId w:val="15"/>
  </w:num>
  <w:num w:numId="18">
    <w:abstractNumId w:val="3"/>
  </w:num>
  <w:num w:numId="19">
    <w:abstractNumId w:val="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FA5"/>
    <w:rsid w:val="00004113"/>
    <w:rsid w:val="000078FB"/>
    <w:rsid w:val="00013AC3"/>
    <w:rsid w:val="000208B1"/>
    <w:rsid w:val="00027FD2"/>
    <w:rsid w:val="00033580"/>
    <w:rsid w:val="000368A4"/>
    <w:rsid w:val="0003794E"/>
    <w:rsid w:val="0004421E"/>
    <w:rsid w:val="000606B6"/>
    <w:rsid w:val="0006071C"/>
    <w:rsid w:val="00061E20"/>
    <w:rsid w:val="00063664"/>
    <w:rsid w:val="000715B5"/>
    <w:rsid w:val="000725FF"/>
    <w:rsid w:val="0008145A"/>
    <w:rsid w:val="0008525F"/>
    <w:rsid w:val="000A08C9"/>
    <w:rsid w:val="000A70AF"/>
    <w:rsid w:val="000B0757"/>
    <w:rsid w:val="000B099A"/>
    <w:rsid w:val="000B187D"/>
    <w:rsid w:val="000C18C2"/>
    <w:rsid w:val="000C3E87"/>
    <w:rsid w:val="000C41D1"/>
    <w:rsid w:val="000C4E09"/>
    <w:rsid w:val="000D1B17"/>
    <w:rsid w:val="000D6F2A"/>
    <w:rsid w:val="000E334E"/>
    <w:rsid w:val="000E3451"/>
    <w:rsid w:val="000F0DDB"/>
    <w:rsid w:val="000F2116"/>
    <w:rsid w:val="000F29A3"/>
    <w:rsid w:val="000F2D10"/>
    <w:rsid w:val="000F47CD"/>
    <w:rsid w:val="00101628"/>
    <w:rsid w:val="00102529"/>
    <w:rsid w:val="00102628"/>
    <w:rsid w:val="001075B1"/>
    <w:rsid w:val="001154D1"/>
    <w:rsid w:val="0011578A"/>
    <w:rsid w:val="00117FDE"/>
    <w:rsid w:val="00121DBB"/>
    <w:rsid w:val="00123AA7"/>
    <w:rsid w:val="00124285"/>
    <w:rsid w:val="00124DA9"/>
    <w:rsid w:val="00126CDB"/>
    <w:rsid w:val="001307E5"/>
    <w:rsid w:val="00133108"/>
    <w:rsid w:val="001375A1"/>
    <w:rsid w:val="00137FD8"/>
    <w:rsid w:val="001404F4"/>
    <w:rsid w:val="00142961"/>
    <w:rsid w:val="0014440B"/>
    <w:rsid w:val="00145DAC"/>
    <w:rsid w:val="001467CF"/>
    <w:rsid w:val="00146804"/>
    <w:rsid w:val="0015141E"/>
    <w:rsid w:val="001516E1"/>
    <w:rsid w:val="00152EC2"/>
    <w:rsid w:val="0015305B"/>
    <w:rsid w:val="0015734E"/>
    <w:rsid w:val="00160937"/>
    <w:rsid w:val="00161FCE"/>
    <w:rsid w:val="001639C8"/>
    <w:rsid w:val="001648CD"/>
    <w:rsid w:val="00165027"/>
    <w:rsid w:val="00167977"/>
    <w:rsid w:val="001749FC"/>
    <w:rsid w:val="00176EE6"/>
    <w:rsid w:val="00177402"/>
    <w:rsid w:val="0018097A"/>
    <w:rsid w:val="00184328"/>
    <w:rsid w:val="00185EC7"/>
    <w:rsid w:val="00186DB3"/>
    <w:rsid w:val="001A2D70"/>
    <w:rsid w:val="001A3697"/>
    <w:rsid w:val="001A40C7"/>
    <w:rsid w:val="001A4E3B"/>
    <w:rsid w:val="001A6197"/>
    <w:rsid w:val="001B20B8"/>
    <w:rsid w:val="001B270F"/>
    <w:rsid w:val="001B64A5"/>
    <w:rsid w:val="001B64AB"/>
    <w:rsid w:val="001B6F52"/>
    <w:rsid w:val="001C07BB"/>
    <w:rsid w:val="001C0E3D"/>
    <w:rsid w:val="001C4C9A"/>
    <w:rsid w:val="001C736B"/>
    <w:rsid w:val="001D0593"/>
    <w:rsid w:val="001D52BF"/>
    <w:rsid w:val="001E48F1"/>
    <w:rsid w:val="001E68C1"/>
    <w:rsid w:val="001E6B41"/>
    <w:rsid w:val="001E71B7"/>
    <w:rsid w:val="001F00DF"/>
    <w:rsid w:val="001F296D"/>
    <w:rsid w:val="001F47CF"/>
    <w:rsid w:val="001F5C29"/>
    <w:rsid w:val="001F6AAF"/>
    <w:rsid w:val="0020098D"/>
    <w:rsid w:val="00210B7F"/>
    <w:rsid w:val="00213EFD"/>
    <w:rsid w:val="002148A5"/>
    <w:rsid w:val="002162CF"/>
    <w:rsid w:val="00216E78"/>
    <w:rsid w:val="002174E5"/>
    <w:rsid w:val="0021750E"/>
    <w:rsid w:val="00220DBE"/>
    <w:rsid w:val="0022123D"/>
    <w:rsid w:val="00224673"/>
    <w:rsid w:val="00230738"/>
    <w:rsid w:val="00230E60"/>
    <w:rsid w:val="0024280B"/>
    <w:rsid w:val="002527D0"/>
    <w:rsid w:val="002539AA"/>
    <w:rsid w:val="00253D4E"/>
    <w:rsid w:val="002567B5"/>
    <w:rsid w:val="00256E56"/>
    <w:rsid w:val="00257ACF"/>
    <w:rsid w:val="0026067C"/>
    <w:rsid w:val="00260D56"/>
    <w:rsid w:val="002611BF"/>
    <w:rsid w:val="00262BC2"/>
    <w:rsid w:val="00271864"/>
    <w:rsid w:val="00273922"/>
    <w:rsid w:val="00275C9D"/>
    <w:rsid w:val="002802A4"/>
    <w:rsid w:val="00282981"/>
    <w:rsid w:val="002840E8"/>
    <w:rsid w:val="00292D22"/>
    <w:rsid w:val="002A1C06"/>
    <w:rsid w:val="002A2E52"/>
    <w:rsid w:val="002A63E8"/>
    <w:rsid w:val="002B085E"/>
    <w:rsid w:val="002C1A2E"/>
    <w:rsid w:val="002C1BEF"/>
    <w:rsid w:val="002D10B8"/>
    <w:rsid w:val="002D1CAE"/>
    <w:rsid w:val="002D1F30"/>
    <w:rsid w:val="002D6D13"/>
    <w:rsid w:val="002E0178"/>
    <w:rsid w:val="002E0BCE"/>
    <w:rsid w:val="002E5098"/>
    <w:rsid w:val="002F05F1"/>
    <w:rsid w:val="002F12CB"/>
    <w:rsid w:val="002F37E0"/>
    <w:rsid w:val="002F40F7"/>
    <w:rsid w:val="003019C0"/>
    <w:rsid w:val="00301B37"/>
    <w:rsid w:val="00302A7D"/>
    <w:rsid w:val="00303BFE"/>
    <w:rsid w:val="00305C91"/>
    <w:rsid w:val="003177CE"/>
    <w:rsid w:val="00325079"/>
    <w:rsid w:val="00331D59"/>
    <w:rsid w:val="003355F4"/>
    <w:rsid w:val="00340CB9"/>
    <w:rsid w:val="00346E44"/>
    <w:rsid w:val="00354654"/>
    <w:rsid w:val="00367C22"/>
    <w:rsid w:val="00373950"/>
    <w:rsid w:val="00374CB5"/>
    <w:rsid w:val="00386948"/>
    <w:rsid w:val="00387383"/>
    <w:rsid w:val="00391C2C"/>
    <w:rsid w:val="00392331"/>
    <w:rsid w:val="00394393"/>
    <w:rsid w:val="003958B4"/>
    <w:rsid w:val="00395AB4"/>
    <w:rsid w:val="0039637B"/>
    <w:rsid w:val="003A056C"/>
    <w:rsid w:val="003A339C"/>
    <w:rsid w:val="003B2F3A"/>
    <w:rsid w:val="003C2C31"/>
    <w:rsid w:val="003C4A09"/>
    <w:rsid w:val="003C718C"/>
    <w:rsid w:val="003C77B0"/>
    <w:rsid w:val="003D63C1"/>
    <w:rsid w:val="003E6BD0"/>
    <w:rsid w:val="003F0B1E"/>
    <w:rsid w:val="003F27C4"/>
    <w:rsid w:val="004021AE"/>
    <w:rsid w:val="00405155"/>
    <w:rsid w:val="004051CF"/>
    <w:rsid w:val="004072B7"/>
    <w:rsid w:val="0041372E"/>
    <w:rsid w:val="0042520C"/>
    <w:rsid w:val="004305B3"/>
    <w:rsid w:val="00434CBA"/>
    <w:rsid w:val="00435405"/>
    <w:rsid w:val="00435DA2"/>
    <w:rsid w:val="00443AC1"/>
    <w:rsid w:val="00446D51"/>
    <w:rsid w:val="004507A3"/>
    <w:rsid w:val="004530B9"/>
    <w:rsid w:val="0045347E"/>
    <w:rsid w:val="004545CD"/>
    <w:rsid w:val="00457E8E"/>
    <w:rsid w:val="004622F8"/>
    <w:rsid w:val="0046417B"/>
    <w:rsid w:val="00465BD1"/>
    <w:rsid w:val="004729C6"/>
    <w:rsid w:val="00473019"/>
    <w:rsid w:val="00475F29"/>
    <w:rsid w:val="00477BC2"/>
    <w:rsid w:val="00480538"/>
    <w:rsid w:val="004838BA"/>
    <w:rsid w:val="004901E1"/>
    <w:rsid w:val="004904CF"/>
    <w:rsid w:val="00490943"/>
    <w:rsid w:val="004928DC"/>
    <w:rsid w:val="004934F9"/>
    <w:rsid w:val="0049493C"/>
    <w:rsid w:val="0049740B"/>
    <w:rsid w:val="004A367D"/>
    <w:rsid w:val="004A5D8D"/>
    <w:rsid w:val="004A6004"/>
    <w:rsid w:val="004A6E29"/>
    <w:rsid w:val="004B21B1"/>
    <w:rsid w:val="004C0FEA"/>
    <w:rsid w:val="004C1B50"/>
    <w:rsid w:val="004C1B8C"/>
    <w:rsid w:val="004C3051"/>
    <w:rsid w:val="004C380A"/>
    <w:rsid w:val="004D55A4"/>
    <w:rsid w:val="004E4A17"/>
    <w:rsid w:val="004E57C3"/>
    <w:rsid w:val="004F6221"/>
    <w:rsid w:val="004F79AE"/>
    <w:rsid w:val="005003B9"/>
    <w:rsid w:val="00511944"/>
    <w:rsid w:val="0051347A"/>
    <w:rsid w:val="00514120"/>
    <w:rsid w:val="00514D59"/>
    <w:rsid w:val="00515897"/>
    <w:rsid w:val="00521901"/>
    <w:rsid w:val="005253A5"/>
    <w:rsid w:val="005275B8"/>
    <w:rsid w:val="00535D84"/>
    <w:rsid w:val="00536788"/>
    <w:rsid w:val="0053710E"/>
    <w:rsid w:val="005436F5"/>
    <w:rsid w:val="00545B74"/>
    <w:rsid w:val="00555C60"/>
    <w:rsid w:val="00557378"/>
    <w:rsid w:val="0056196C"/>
    <w:rsid w:val="00564109"/>
    <w:rsid w:val="00566F9C"/>
    <w:rsid w:val="00567EDB"/>
    <w:rsid w:val="00567F4E"/>
    <w:rsid w:val="00571C75"/>
    <w:rsid w:val="005816FF"/>
    <w:rsid w:val="005863CD"/>
    <w:rsid w:val="00593A26"/>
    <w:rsid w:val="00594099"/>
    <w:rsid w:val="00597C7E"/>
    <w:rsid w:val="005A2AEC"/>
    <w:rsid w:val="005A747D"/>
    <w:rsid w:val="005A7995"/>
    <w:rsid w:val="005B15F8"/>
    <w:rsid w:val="005B1B08"/>
    <w:rsid w:val="005B1E01"/>
    <w:rsid w:val="005B7974"/>
    <w:rsid w:val="005C1520"/>
    <w:rsid w:val="005C7DAF"/>
    <w:rsid w:val="005E4731"/>
    <w:rsid w:val="005E641C"/>
    <w:rsid w:val="006041D0"/>
    <w:rsid w:val="00606873"/>
    <w:rsid w:val="0061272F"/>
    <w:rsid w:val="0061586A"/>
    <w:rsid w:val="00616428"/>
    <w:rsid w:val="00616874"/>
    <w:rsid w:val="0062205E"/>
    <w:rsid w:val="00624485"/>
    <w:rsid w:val="0062464E"/>
    <w:rsid w:val="0062667A"/>
    <w:rsid w:val="0064108D"/>
    <w:rsid w:val="006441D4"/>
    <w:rsid w:val="00645E81"/>
    <w:rsid w:val="00647FA5"/>
    <w:rsid w:val="00651383"/>
    <w:rsid w:val="0065573F"/>
    <w:rsid w:val="00661689"/>
    <w:rsid w:val="006624BB"/>
    <w:rsid w:val="0066385B"/>
    <w:rsid w:val="00663F12"/>
    <w:rsid w:val="006673CC"/>
    <w:rsid w:val="006707AC"/>
    <w:rsid w:val="00672101"/>
    <w:rsid w:val="00675AD0"/>
    <w:rsid w:val="006816B9"/>
    <w:rsid w:val="00681987"/>
    <w:rsid w:val="0068250D"/>
    <w:rsid w:val="00684AA2"/>
    <w:rsid w:val="00685310"/>
    <w:rsid w:val="006918AE"/>
    <w:rsid w:val="00692478"/>
    <w:rsid w:val="00697CD8"/>
    <w:rsid w:val="006A0275"/>
    <w:rsid w:val="006A067B"/>
    <w:rsid w:val="006A389D"/>
    <w:rsid w:val="006A5A7A"/>
    <w:rsid w:val="006B51D8"/>
    <w:rsid w:val="006B71FF"/>
    <w:rsid w:val="006C33D2"/>
    <w:rsid w:val="006D180A"/>
    <w:rsid w:val="006D225C"/>
    <w:rsid w:val="006D338B"/>
    <w:rsid w:val="006D41EB"/>
    <w:rsid w:val="006D469E"/>
    <w:rsid w:val="006D73FD"/>
    <w:rsid w:val="006E1AAC"/>
    <w:rsid w:val="006E268F"/>
    <w:rsid w:val="006E5294"/>
    <w:rsid w:val="006F06DA"/>
    <w:rsid w:val="006F10E2"/>
    <w:rsid w:val="006F1D79"/>
    <w:rsid w:val="006F5A4D"/>
    <w:rsid w:val="007018EF"/>
    <w:rsid w:val="007054BE"/>
    <w:rsid w:val="007057CA"/>
    <w:rsid w:val="00707297"/>
    <w:rsid w:val="007152FD"/>
    <w:rsid w:val="007229D0"/>
    <w:rsid w:val="00723671"/>
    <w:rsid w:val="00732BD4"/>
    <w:rsid w:val="00734824"/>
    <w:rsid w:val="007408A3"/>
    <w:rsid w:val="00747AA5"/>
    <w:rsid w:val="00751C69"/>
    <w:rsid w:val="00755161"/>
    <w:rsid w:val="00757338"/>
    <w:rsid w:val="0076054B"/>
    <w:rsid w:val="007641B4"/>
    <w:rsid w:val="007668F8"/>
    <w:rsid w:val="00775657"/>
    <w:rsid w:val="00775814"/>
    <w:rsid w:val="00775AAB"/>
    <w:rsid w:val="007806C9"/>
    <w:rsid w:val="00782232"/>
    <w:rsid w:val="0078294A"/>
    <w:rsid w:val="00782C10"/>
    <w:rsid w:val="00782D47"/>
    <w:rsid w:val="00785208"/>
    <w:rsid w:val="007A314C"/>
    <w:rsid w:val="007A65B4"/>
    <w:rsid w:val="007B6C14"/>
    <w:rsid w:val="007B6E0A"/>
    <w:rsid w:val="007B7950"/>
    <w:rsid w:val="007C070E"/>
    <w:rsid w:val="007C0A73"/>
    <w:rsid w:val="007C0E31"/>
    <w:rsid w:val="007C0E3D"/>
    <w:rsid w:val="007C1BBB"/>
    <w:rsid w:val="007C1C8A"/>
    <w:rsid w:val="007C3673"/>
    <w:rsid w:val="007D139F"/>
    <w:rsid w:val="007D3772"/>
    <w:rsid w:val="007D4340"/>
    <w:rsid w:val="007E07A3"/>
    <w:rsid w:val="007E093F"/>
    <w:rsid w:val="007E19DA"/>
    <w:rsid w:val="007E27AD"/>
    <w:rsid w:val="007E3EE0"/>
    <w:rsid w:val="007E586F"/>
    <w:rsid w:val="007F0B40"/>
    <w:rsid w:val="007F141E"/>
    <w:rsid w:val="0080078F"/>
    <w:rsid w:val="00803207"/>
    <w:rsid w:val="00810799"/>
    <w:rsid w:val="00810A63"/>
    <w:rsid w:val="00813BB8"/>
    <w:rsid w:val="008146AB"/>
    <w:rsid w:val="0082144A"/>
    <w:rsid w:val="0082669D"/>
    <w:rsid w:val="00826F73"/>
    <w:rsid w:val="0083720A"/>
    <w:rsid w:val="00842698"/>
    <w:rsid w:val="00844110"/>
    <w:rsid w:val="00847138"/>
    <w:rsid w:val="00847D02"/>
    <w:rsid w:val="00854B7F"/>
    <w:rsid w:val="00855994"/>
    <w:rsid w:val="00855FA2"/>
    <w:rsid w:val="00862A6E"/>
    <w:rsid w:val="00872284"/>
    <w:rsid w:val="0087272E"/>
    <w:rsid w:val="008732E3"/>
    <w:rsid w:val="008744F6"/>
    <w:rsid w:val="00881616"/>
    <w:rsid w:val="00881F0A"/>
    <w:rsid w:val="00882413"/>
    <w:rsid w:val="008829E5"/>
    <w:rsid w:val="0088540D"/>
    <w:rsid w:val="00885797"/>
    <w:rsid w:val="00895AD0"/>
    <w:rsid w:val="00895DB5"/>
    <w:rsid w:val="008A3A92"/>
    <w:rsid w:val="008A49C0"/>
    <w:rsid w:val="008A591E"/>
    <w:rsid w:val="008A65C0"/>
    <w:rsid w:val="008B11BC"/>
    <w:rsid w:val="008B4326"/>
    <w:rsid w:val="008B5123"/>
    <w:rsid w:val="008B5514"/>
    <w:rsid w:val="008B5A5C"/>
    <w:rsid w:val="008B5C47"/>
    <w:rsid w:val="008C0944"/>
    <w:rsid w:val="008C56B6"/>
    <w:rsid w:val="008E1E2B"/>
    <w:rsid w:val="008E4A18"/>
    <w:rsid w:val="008E4F5D"/>
    <w:rsid w:val="008E5063"/>
    <w:rsid w:val="008E5331"/>
    <w:rsid w:val="008E5389"/>
    <w:rsid w:val="008E5A3B"/>
    <w:rsid w:val="008F0E07"/>
    <w:rsid w:val="00900B2D"/>
    <w:rsid w:val="009010DA"/>
    <w:rsid w:val="00901225"/>
    <w:rsid w:val="00901230"/>
    <w:rsid w:val="00901774"/>
    <w:rsid w:val="009052C0"/>
    <w:rsid w:val="00906B25"/>
    <w:rsid w:val="00930DFD"/>
    <w:rsid w:val="00933A69"/>
    <w:rsid w:val="00933B20"/>
    <w:rsid w:val="00950516"/>
    <w:rsid w:val="0095154F"/>
    <w:rsid w:val="0095407F"/>
    <w:rsid w:val="00957837"/>
    <w:rsid w:val="009603B9"/>
    <w:rsid w:val="00962876"/>
    <w:rsid w:val="00967CAE"/>
    <w:rsid w:val="00975EBB"/>
    <w:rsid w:val="009778A7"/>
    <w:rsid w:val="009809D5"/>
    <w:rsid w:val="00982E8C"/>
    <w:rsid w:val="00986773"/>
    <w:rsid w:val="009875B5"/>
    <w:rsid w:val="00990D06"/>
    <w:rsid w:val="00992A69"/>
    <w:rsid w:val="009945F8"/>
    <w:rsid w:val="00995725"/>
    <w:rsid w:val="009964C0"/>
    <w:rsid w:val="009A2611"/>
    <w:rsid w:val="009A2887"/>
    <w:rsid w:val="009A32F4"/>
    <w:rsid w:val="009A4B53"/>
    <w:rsid w:val="009A5C6A"/>
    <w:rsid w:val="009B246F"/>
    <w:rsid w:val="009C2DE3"/>
    <w:rsid w:val="009D36BE"/>
    <w:rsid w:val="009D434F"/>
    <w:rsid w:val="009D51C6"/>
    <w:rsid w:val="009E3CD9"/>
    <w:rsid w:val="009F0231"/>
    <w:rsid w:val="009F069F"/>
    <w:rsid w:val="009F3530"/>
    <w:rsid w:val="00A04004"/>
    <w:rsid w:val="00A055A2"/>
    <w:rsid w:val="00A06CF9"/>
    <w:rsid w:val="00A11762"/>
    <w:rsid w:val="00A13CD9"/>
    <w:rsid w:val="00A15222"/>
    <w:rsid w:val="00A22DC1"/>
    <w:rsid w:val="00A23BF7"/>
    <w:rsid w:val="00A267D2"/>
    <w:rsid w:val="00A26EBE"/>
    <w:rsid w:val="00A3182B"/>
    <w:rsid w:val="00A35D24"/>
    <w:rsid w:val="00A4066E"/>
    <w:rsid w:val="00A56723"/>
    <w:rsid w:val="00A61FC7"/>
    <w:rsid w:val="00A7068D"/>
    <w:rsid w:val="00A7130A"/>
    <w:rsid w:val="00A73D6A"/>
    <w:rsid w:val="00A74B92"/>
    <w:rsid w:val="00A801DF"/>
    <w:rsid w:val="00A805C9"/>
    <w:rsid w:val="00A83509"/>
    <w:rsid w:val="00A92B08"/>
    <w:rsid w:val="00A966B5"/>
    <w:rsid w:val="00AA0AC2"/>
    <w:rsid w:val="00AC138F"/>
    <w:rsid w:val="00AC1AD6"/>
    <w:rsid w:val="00AC2D05"/>
    <w:rsid w:val="00AC4FCB"/>
    <w:rsid w:val="00AC6E26"/>
    <w:rsid w:val="00AD3908"/>
    <w:rsid w:val="00AD3CCC"/>
    <w:rsid w:val="00AD5B39"/>
    <w:rsid w:val="00AE42F8"/>
    <w:rsid w:val="00AF3271"/>
    <w:rsid w:val="00AF3EF4"/>
    <w:rsid w:val="00B05083"/>
    <w:rsid w:val="00B0605E"/>
    <w:rsid w:val="00B1107D"/>
    <w:rsid w:val="00B11C0C"/>
    <w:rsid w:val="00B13B4B"/>
    <w:rsid w:val="00B2652C"/>
    <w:rsid w:val="00B32870"/>
    <w:rsid w:val="00B3388D"/>
    <w:rsid w:val="00B357D4"/>
    <w:rsid w:val="00B41237"/>
    <w:rsid w:val="00B4661C"/>
    <w:rsid w:val="00B514E0"/>
    <w:rsid w:val="00B5275B"/>
    <w:rsid w:val="00B5296F"/>
    <w:rsid w:val="00B5723F"/>
    <w:rsid w:val="00B57701"/>
    <w:rsid w:val="00B602F7"/>
    <w:rsid w:val="00B66275"/>
    <w:rsid w:val="00B670AA"/>
    <w:rsid w:val="00B678F7"/>
    <w:rsid w:val="00B67EA7"/>
    <w:rsid w:val="00B70979"/>
    <w:rsid w:val="00B815DD"/>
    <w:rsid w:val="00B84D36"/>
    <w:rsid w:val="00B87429"/>
    <w:rsid w:val="00B961A9"/>
    <w:rsid w:val="00B96566"/>
    <w:rsid w:val="00B968E0"/>
    <w:rsid w:val="00B975DB"/>
    <w:rsid w:val="00BA0271"/>
    <w:rsid w:val="00BA0ED8"/>
    <w:rsid w:val="00BA16C7"/>
    <w:rsid w:val="00BA19C0"/>
    <w:rsid w:val="00BA3837"/>
    <w:rsid w:val="00BA43DC"/>
    <w:rsid w:val="00BB33FA"/>
    <w:rsid w:val="00BB5A06"/>
    <w:rsid w:val="00BC1A63"/>
    <w:rsid w:val="00BC2E74"/>
    <w:rsid w:val="00BD5634"/>
    <w:rsid w:val="00BD792A"/>
    <w:rsid w:val="00BE3F08"/>
    <w:rsid w:val="00BF06A9"/>
    <w:rsid w:val="00BF1D6D"/>
    <w:rsid w:val="00BF2411"/>
    <w:rsid w:val="00BF5654"/>
    <w:rsid w:val="00BF6FD9"/>
    <w:rsid w:val="00C104FB"/>
    <w:rsid w:val="00C131FE"/>
    <w:rsid w:val="00C17931"/>
    <w:rsid w:val="00C33701"/>
    <w:rsid w:val="00C41DF2"/>
    <w:rsid w:val="00C44F03"/>
    <w:rsid w:val="00C44F1C"/>
    <w:rsid w:val="00C53886"/>
    <w:rsid w:val="00C60760"/>
    <w:rsid w:val="00C70F5C"/>
    <w:rsid w:val="00C74651"/>
    <w:rsid w:val="00C8779C"/>
    <w:rsid w:val="00C95B3D"/>
    <w:rsid w:val="00C97D7C"/>
    <w:rsid w:val="00CA1C99"/>
    <w:rsid w:val="00CA43B9"/>
    <w:rsid w:val="00CB2D59"/>
    <w:rsid w:val="00CB2DDE"/>
    <w:rsid w:val="00CB3BE3"/>
    <w:rsid w:val="00CC1D79"/>
    <w:rsid w:val="00CC22DB"/>
    <w:rsid w:val="00CC3436"/>
    <w:rsid w:val="00CC70DD"/>
    <w:rsid w:val="00CC791A"/>
    <w:rsid w:val="00CD157C"/>
    <w:rsid w:val="00CD3706"/>
    <w:rsid w:val="00CD41BB"/>
    <w:rsid w:val="00CD6443"/>
    <w:rsid w:val="00CD7885"/>
    <w:rsid w:val="00CE0CD4"/>
    <w:rsid w:val="00CE1C8A"/>
    <w:rsid w:val="00CE4F9D"/>
    <w:rsid w:val="00CE718F"/>
    <w:rsid w:val="00CE792F"/>
    <w:rsid w:val="00CF1C1E"/>
    <w:rsid w:val="00CF75B5"/>
    <w:rsid w:val="00D016A9"/>
    <w:rsid w:val="00D04119"/>
    <w:rsid w:val="00D06D10"/>
    <w:rsid w:val="00D104FE"/>
    <w:rsid w:val="00D10D6F"/>
    <w:rsid w:val="00D10FB8"/>
    <w:rsid w:val="00D13C06"/>
    <w:rsid w:val="00D22039"/>
    <w:rsid w:val="00D25C0B"/>
    <w:rsid w:val="00D30580"/>
    <w:rsid w:val="00D30F8E"/>
    <w:rsid w:val="00D317F3"/>
    <w:rsid w:val="00D336C3"/>
    <w:rsid w:val="00D36C93"/>
    <w:rsid w:val="00D36FC0"/>
    <w:rsid w:val="00D425E1"/>
    <w:rsid w:val="00D46DF3"/>
    <w:rsid w:val="00D503B9"/>
    <w:rsid w:val="00D53207"/>
    <w:rsid w:val="00D53A34"/>
    <w:rsid w:val="00D5672C"/>
    <w:rsid w:val="00D625A2"/>
    <w:rsid w:val="00D660FE"/>
    <w:rsid w:val="00D70959"/>
    <w:rsid w:val="00D726EE"/>
    <w:rsid w:val="00D72E66"/>
    <w:rsid w:val="00D75E92"/>
    <w:rsid w:val="00D810E3"/>
    <w:rsid w:val="00D81F2A"/>
    <w:rsid w:val="00D84AA8"/>
    <w:rsid w:val="00D927AD"/>
    <w:rsid w:val="00DA49CC"/>
    <w:rsid w:val="00DA729C"/>
    <w:rsid w:val="00DB0F63"/>
    <w:rsid w:val="00DB18D0"/>
    <w:rsid w:val="00DB2291"/>
    <w:rsid w:val="00DB2DBB"/>
    <w:rsid w:val="00DB4681"/>
    <w:rsid w:val="00DC23F2"/>
    <w:rsid w:val="00DC43D3"/>
    <w:rsid w:val="00DC60DD"/>
    <w:rsid w:val="00DC7252"/>
    <w:rsid w:val="00DD40D7"/>
    <w:rsid w:val="00DD5E0F"/>
    <w:rsid w:val="00DE314F"/>
    <w:rsid w:val="00DE4E06"/>
    <w:rsid w:val="00DE4E96"/>
    <w:rsid w:val="00DE6F73"/>
    <w:rsid w:val="00DF0507"/>
    <w:rsid w:val="00DF6767"/>
    <w:rsid w:val="00DF7707"/>
    <w:rsid w:val="00E014FE"/>
    <w:rsid w:val="00E0402D"/>
    <w:rsid w:val="00E1091D"/>
    <w:rsid w:val="00E118F1"/>
    <w:rsid w:val="00E12F13"/>
    <w:rsid w:val="00E152CA"/>
    <w:rsid w:val="00E178AC"/>
    <w:rsid w:val="00E17BA5"/>
    <w:rsid w:val="00E2340C"/>
    <w:rsid w:val="00E24AD5"/>
    <w:rsid w:val="00E31A53"/>
    <w:rsid w:val="00E32EAE"/>
    <w:rsid w:val="00E34335"/>
    <w:rsid w:val="00E3436A"/>
    <w:rsid w:val="00E37E5F"/>
    <w:rsid w:val="00E448C8"/>
    <w:rsid w:val="00E44A46"/>
    <w:rsid w:val="00E45D12"/>
    <w:rsid w:val="00E51834"/>
    <w:rsid w:val="00E613C6"/>
    <w:rsid w:val="00E61B98"/>
    <w:rsid w:val="00E6220C"/>
    <w:rsid w:val="00E6492C"/>
    <w:rsid w:val="00E6532D"/>
    <w:rsid w:val="00E73DE6"/>
    <w:rsid w:val="00E76435"/>
    <w:rsid w:val="00E82695"/>
    <w:rsid w:val="00E83198"/>
    <w:rsid w:val="00E84052"/>
    <w:rsid w:val="00E92780"/>
    <w:rsid w:val="00E927F3"/>
    <w:rsid w:val="00EB11CC"/>
    <w:rsid w:val="00EB224A"/>
    <w:rsid w:val="00EB35A5"/>
    <w:rsid w:val="00EC262A"/>
    <w:rsid w:val="00EC42D8"/>
    <w:rsid w:val="00EC4DBE"/>
    <w:rsid w:val="00EC5771"/>
    <w:rsid w:val="00EC61D2"/>
    <w:rsid w:val="00EC7101"/>
    <w:rsid w:val="00ED0DF8"/>
    <w:rsid w:val="00ED14FE"/>
    <w:rsid w:val="00ED1CF4"/>
    <w:rsid w:val="00ED26E5"/>
    <w:rsid w:val="00ED65EB"/>
    <w:rsid w:val="00ED69D7"/>
    <w:rsid w:val="00ED71B2"/>
    <w:rsid w:val="00EE176C"/>
    <w:rsid w:val="00EE3EEF"/>
    <w:rsid w:val="00EE46F0"/>
    <w:rsid w:val="00EE57DA"/>
    <w:rsid w:val="00EE57E2"/>
    <w:rsid w:val="00EF0314"/>
    <w:rsid w:val="00EF0B90"/>
    <w:rsid w:val="00EF25D8"/>
    <w:rsid w:val="00EF5393"/>
    <w:rsid w:val="00F00B4C"/>
    <w:rsid w:val="00F03C89"/>
    <w:rsid w:val="00F10CFE"/>
    <w:rsid w:val="00F11DEA"/>
    <w:rsid w:val="00F20805"/>
    <w:rsid w:val="00F23086"/>
    <w:rsid w:val="00F2775D"/>
    <w:rsid w:val="00F30930"/>
    <w:rsid w:val="00F3233C"/>
    <w:rsid w:val="00F3296F"/>
    <w:rsid w:val="00F35D4B"/>
    <w:rsid w:val="00F40CF1"/>
    <w:rsid w:val="00F44C63"/>
    <w:rsid w:val="00F50F74"/>
    <w:rsid w:val="00F52635"/>
    <w:rsid w:val="00F52921"/>
    <w:rsid w:val="00F548B1"/>
    <w:rsid w:val="00F57D9A"/>
    <w:rsid w:val="00F63EEA"/>
    <w:rsid w:val="00F7407F"/>
    <w:rsid w:val="00F775FE"/>
    <w:rsid w:val="00F77E03"/>
    <w:rsid w:val="00F846AD"/>
    <w:rsid w:val="00FA00DD"/>
    <w:rsid w:val="00FA454F"/>
    <w:rsid w:val="00FA728D"/>
    <w:rsid w:val="00FA776C"/>
    <w:rsid w:val="00FB30C9"/>
    <w:rsid w:val="00FC101D"/>
    <w:rsid w:val="00FC2968"/>
    <w:rsid w:val="00FD194B"/>
    <w:rsid w:val="00FD4953"/>
    <w:rsid w:val="00FD6D29"/>
    <w:rsid w:val="00FE4BA1"/>
    <w:rsid w:val="00FE7D54"/>
    <w:rsid w:val="00FF305C"/>
    <w:rsid w:val="00FF3DDF"/>
    <w:rsid w:val="00FF4F4B"/>
    <w:rsid w:val="00FF51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18EA5"/>
  <w15:docId w15:val="{8A236B1C-DA12-4321-AB83-F4BA65D50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1BB"/>
    <w:rPr>
      <w:rFonts w:eastAsia="Times New Roman" w:cs="Times New Roman"/>
      <w:szCs w:val="24"/>
    </w:rPr>
  </w:style>
  <w:style w:type="paragraph" w:styleId="Heading2">
    <w:name w:val="heading 2"/>
    <w:basedOn w:val="Normal"/>
    <w:next w:val="Normal"/>
    <w:link w:val="Heading2Char"/>
    <w:unhideWhenUsed/>
    <w:qFormat/>
    <w:rsid w:val="003D63C1"/>
    <w:pPr>
      <w:keepNext/>
      <w:ind w:firstLine="709"/>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647FA5"/>
    <w:pPr>
      <w:spacing w:before="100" w:beforeAutospacing="1" w:after="100" w:afterAutospacing="1"/>
      <w:jc w:val="both"/>
    </w:pPr>
    <w:rPr>
      <w:rFonts w:ascii="Arial Unicode MS" w:eastAsia="Arial Unicode MS" w:hAnsi="Arial Unicode MS"/>
      <w:lang w:val="en-GB"/>
    </w:rPr>
  </w:style>
  <w:style w:type="paragraph" w:customStyle="1" w:styleId="naisnod">
    <w:name w:val="naisnod"/>
    <w:basedOn w:val="Normal"/>
    <w:rsid w:val="00647FA5"/>
    <w:pPr>
      <w:spacing w:before="100" w:beforeAutospacing="1" w:after="100" w:afterAutospacing="1"/>
    </w:pPr>
    <w:rPr>
      <w:lang w:eastAsia="lv-LV"/>
    </w:rPr>
  </w:style>
  <w:style w:type="paragraph" w:styleId="ListParagraph">
    <w:name w:val="List Paragraph"/>
    <w:aliases w:val="2"/>
    <w:basedOn w:val="Normal"/>
    <w:link w:val="ListParagraphChar"/>
    <w:uiPriority w:val="34"/>
    <w:qFormat/>
    <w:rsid w:val="00647FA5"/>
    <w:pPr>
      <w:ind w:left="720"/>
    </w:pPr>
    <w:rPr>
      <w:rFonts w:ascii="Calibri" w:eastAsia="Calibri" w:hAnsi="Calibri"/>
      <w:sz w:val="22"/>
      <w:szCs w:val="22"/>
    </w:rPr>
  </w:style>
  <w:style w:type="character" w:customStyle="1" w:styleId="ListParagraphChar">
    <w:name w:val="List Paragraph Char"/>
    <w:aliases w:val="2 Char"/>
    <w:link w:val="ListParagraph"/>
    <w:uiPriority w:val="34"/>
    <w:locked/>
    <w:rsid w:val="00647FA5"/>
    <w:rPr>
      <w:rFonts w:ascii="Calibri" w:eastAsia="Calibri" w:hAnsi="Calibri" w:cs="Times New Roman"/>
      <w:sz w:val="22"/>
    </w:rPr>
  </w:style>
  <w:style w:type="paragraph" w:customStyle="1" w:styleId="naiskr">
    <w:name w:val="naiskr"/>
    <w:basedOn w:val="Normal"/>
    <w:rsid w:val="00647FA5"/>
    <w:pPr>
      <w:spacing w:before="100" w:beforeAutospacing="1" w:after="100" w:afterAutospacing="1"/>
    </w:pPr>
    <w:rPr>
      <w:lang w:eastAsia="lv-LV"/>
    </w:rPr>
  </w:style>
  <w:style w:type="paragraph" w:customStyle="1" w:styleId="Style5">
    <w:name w:val="Style5"/>
    <w:basedOn w:val="Normal"/>
    <w:uiPriority w:val="99"/>
    <w:rsid w:val="00D927AD"/>
    <w:pPr>
      <w:widowControl w:val="0"/>
      <w:autoSpaceDE w:val="0"/>
      <w:autoSpaceDN w:val="0"/>
      <w:adjustRightInd w:val="0"/>
      <w:spacing w:line="286" w:lineRule="exact"/>
      <w:ind w:firstLine="696"/>
      <w:jc w:val="both"/>
    </w:pPr>
    <w:rPr>
      <w:rFonts w:ascii="Book Antiqua" w:eastAsiaTheme="minorEastAsia" w:hAnsi="Book Antiqua" w:cstheme="minorBidi"/>
      <w:lang w:eastAsia="lv-LV"/>
    </w:rPr>
  </w:style>
  <w:style w:type="character" w:customStyle="1" w:styleId="FontStyle15">
    <w:name w:val="Font Style15"/>
    <w:basedOn w:val="DefaultParagraphFont"/>
    <w:uiPriority w:val="99"/>
    <w:rsid w:val="00D927AD"/>
    <w:rPr>
      <w:rFonts w:ascii="Times New Roman" w:hAnsi="Times New Roman" w:cs="Times New Roman"/>
      <w:sz w:val="22"/>
      <w:szCs w:val="22"/>
    </w:rPr>
  </w:style>
  <w:style w:type="paragraph" w:customStyle="1" w:styleId="Style3">
    <w:name w:val="Style3"/>
    <w:basedOn w:val="Normal"/>
    <w:uiPriority w:val="99"/>
    <w:rsid w:val="00282981"/>
    <w:pPr>
      <w:widowControl w:val="0"/>
      <w:autoSpaceDE w:val="0"/>
      <w:autoSpaceDN w:val="0"/>
      <w:adjustRightInd w:val="0"/>
      <w:spacing w:line="250" w:lineRule="exact"/>
      <w:jc w:val="both"/>
    </w:pPr>
    <w:rPr>
      <w:rFonts w:ascii="Segoe UI" w:eastAsiaTheme="minorEastAsia" w:hAnsi="Segoe UI" w:cs="Segoe UI"/>
      <w:lang w:eastAsia="lv-LV"/>
    </w:rPr>
  </w:style>
  <w:style w:type="character" w:customStyle="1" w:styleId="FontStyle14">
    <w:name w:val="Font Style14"/>
    <w:basedOn w:val="DefaultParagraphFont"/>
    <w:uiPriority w:val="99"/>
    <w:rsid w:val="00282981"/>
    <w:rPr>
      <w:rFonts w:ascii="Arial" w:hAnsi="Arial" w:cs="Arial"/>
      <w:sz w:val="20"/>
      <w:szCs w:val="20"/>
    </w:rPr>
  </w:style>
  <w:style w:type="paragraph" w:styleId="Header">
    <w:name w:val="header"/>
    <w:basedOn w:val="Normal"/>
    <w:link w:val="HeaderChar"/>
    <w:uiPriority w:val="99"/>
    <w:unhideWhenUsed/>
    <w:rsid w:val="002F37E0"/>
    <w:pPr>
      <w:tabs>
        <w:tab w:val="center" w:pos="4153"/>
        <w:tab w:val="right" w:pos="8306"/>
      </w:tabs>
    </w:pPr>
  </w:style>
  <w:style w:type="character" w:customStyle="1" w:styleId="HeaderChar">
    <w:name w:val="Header Char"/>
    <w:basedOn w:val="DefaultParagraphFont"/>
    <w:link w:val="Header"/>
    <w:uiPriority w:val="99"/>
    <w:rsid w:val="002F37E0"/>
    <w:rPr>
      <w:rFonts w:eastAsia="Times New Roman" w:cs="Times New Roman"/>
      <w:szCs w:val="24"/>
      <w:lang w:val="en-US"/>
    </w:rPr>
  </w:style>
  <w:style w:type="paragraph" w:styleId="Footer">
    <w:name w:val="footer"/>
    <w:basedOn w:val="Normal"/>
    <w:link w:val="FooterChar"/>
    <w:uiPriority w:val="99"/>
    <w:unhideWhenUsed/>
    <w:rsid w:val="002F37E0"/>
    <w:pPr>
      <w:tabs>
        <w:tab w:val="center" w:pos="4153"/>
        <w:tab w:val="right" w:pos="8306"/>
      </w:tabs>
    </w:pPr>
  </w:style>
  <w:style w:type="character" w:customStyle="1" w:styleId="FooterChar">
    <w:name w:val="Footer Char"/>
    <w:basedOn w:val="DefaultParagraphFont"/>
    <w:link w:val="Footer"/>
    <w:uiPriority w:val="99"/>
    <w:rsid w:val="002F37E0"/>
    <w:rPr>
      <w:rFonts w:eastAsia="Times New Roman" w:cs="Times New Roman"/>
      <w:szCs w:val="24"/>
      <w:lang w:val="en-US"/>
    </w:rPr>
  </w:style>
  <w:style w:type="character" w:styleId="Hyperlink">
    <w:name w:val="Hyperlink"/>
    <w:uiPriority w:val="99"/>
    <w:rsid w:val="001F00DF"/>
    <w:rPr>
      <w:color w:val="0000FF"/>
      <w:u w:val="single"/>
    </w:rPr>
  </w:style>
  <w:style w:type="paragraph" w:styleId="BalloonText">
    <w:name w:val="Balloon Text"/>
    <w:basedOn w:val="Normal"/>
    <w:link w:val="BalloonTextChar"/>
    <w:uiPriority w:val="99"/>
    <w:semiHidden/>
    <w:unhideWhenUsed/>
    <w:rsid w:val="004A6E29"/>
    <w:rPr>
      <w:rFonts w:ascii="Tahoma" w:hAnsi="Tahoma" w:cs="Tahoma"/>
      <w:sz w:val="16"/>
      <w:szCs w:val="16"/>
    </w:rPr>
  </w:style>
  <w:style w:type="character" w:customStyle="1" w:styleId="BalloonTextChar">
    <w:name w:val="Balloon Text Char"/>
    <w:basedOn w:val="DefaultParagraphFont"/>
    <w:link w:val="BalloonText"/>
    <w:uiPriority w:val="99"/>
    <w:semiHidden/>
    <w:rsid w:val="004A6E29"/>
    <w:rPr>
      <w:rFonts w:ascii="Tahoma" w:eastAsia="Times New Roman" w:hAnsi="Tahoma" w:cs="Tahoma"/>
      <w:sz w:val="16"/>
      <w:szCs w:val="16"/>
      <w:lang w:val="en-US"/>
    </w:rPr>
  </w:style>
  <w:style w:type="paragraph" w:customStyle="1" w:styleId="Standard">
    <w:name w:val="Standard"/>
    <w:rsid w:val="003177CE"/>
    <w:pPr>
      <w:widowControl w:val="0"/>
      <w:suppressAutoHyphens/>
      <w:autoSpaceDN w:val="0"/>
      <w:textAlignment w:val="baseline"/>
    </w:pPr>
    <w:rPr>
      <w:rFonts w:eastAsia="Lucida Sans Unicode" w:cs="Tahoma"/>
      <w:kern w:val="3"/>
      <w:szCs w:val="24"/>
      <w:lang w:eastAsia="lv-LV"/>
    </w:rPr>
  </w:style>
  <w:style w:type="paragraph" w:styleId="NoSpacing">
    <w:name w:val="No Spacing"/>
    <w:uiPriority w:val="1"/>
    <w:qFormat/>
    <w:rsid w:val="005E641C"/>
    <w:pPr>
      <w:widowControl w:val="0"/>
    </w:pPr>
    <w:rPr>
      <w:rFonts w:ascii="Calibri" w:eastAsia="Calibri" w:hAnsi="Calibri" w:cs="Times New Roman"/>
      <w:sz w:val="22"/>
      <w:lang w:val="en-US"/>
    </w:rPr>
  </w:style>
  <w:style w:type="paragraph" w:customStyle="1" w:styleId="tv213">
    <w:name w:val="tv213"/>
    <w:basedOn w:val="Normal"/>
    <w:rsid w:val="00685310"/>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B968E0"/>
    <w:rPr>
      <w:sz w:val="16"/>
      <w:szCs w:val="16"/>
    </w:rPr>
  </w:style>
  <w:style w:type="paragraph" w:styleId="CommentText">
    <w:name w:val="annotation text"/>
    <w:basedOn w:val="Normal"/>
    <w:link w:val="CommentTextChar"/>
    <w:uiPriority w:val="99"/>
    <w:semiHidden/>
    <w:unhideWhenUsed/>
    <w:rsid w:val="00B968E0"/>
    <w:rPr>
      <w:sz w:val="20"/>
      <w:szCs w:val="20"/>
    </w:rPr>
  </w:style>
  <w:style w:type="character" w:customStyle="1" w:styleId="CommentTextChar">
    <w:name w:val="Comment Text Char"/>
    <w:basedOn w:val="DefaultParagraphFont"/>
    <w:link w:val="CommentText"/>
    <w:uiPriority w:val="99"/>
    <w:semiHidden/>
    <w:rsid w:val="00B968E0"/>
    <w:rPr>
      <w:rFonts w:eastAsia="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968E0"/>
    <w:rPr>
      <w:b/>
      <w:bCs/>
    </w:rPr>
  </w:style>
  <w:style w:type="character" w:customStyle="1" w:styleId="CommentSubjectChar">
    <w:name w:val="Comment Subject Char"/>
    <w:basedOn w:val="CommentTextChar"/>
    <w:link w:val="CommentSubject"/>
    <w:uiPriority w:val="99"/>
    <w:semiHidden/>
    <w:rsid w:val="00B968E0"/>
    <w:rPr>
      <w:rFonts w:eastAsia="Times New Roman" w:cs="Times New Roman"/>
      <w:b/>
      <w:bCs/>
      <w:sz w:val="20"/>
      <w:szCs w:val="20"/>
      <w:lang w:val="en-US"/>
    </w:rPr>
  </w:style>
  <w:style w:type="paragraph" w:customStyle="1" w:styleId="Style2">
    <w:name w:val="Style2"/>
    <w:basedOn w:val="Normal"/>
    <w:uiPriority w:val="99"/>
    <w:rsid w:val="00220DBE"/>
    <w:pPr>
      <w:widowControl w:val="0"/>
      <w:autoSpaceDE w:val="0"/>
      <w:autoSpaceDN w:val="0"/>
      <w:adjustRightInd w:val="0"/>
      <w:spacing w:line="224" w:lineRule="exact"/>
      <w:jc w:val="both"/>
    </w:pPr>
    <w:rPr>
      <w:rFonts w:ascii="Arial Unicode MS" w:eastAsia="Arial Unicode MS" w:hAnsiTheme="minorHAnsi" w:cs="Arial Unicode MS"/>
      <w:lang w:eastAsia="lv-LV"/>
    </w:rPr>
  </w:style>
  <w:style w:type="character" w:customStyle="1" w:styleId="FontStyle11">
    <w:name w:val="Font Style11"/>
    <w:basedOn w:val="DefaultParagraphFont"/>
    <w:uiPriority w:val="99"/>
    <w:rsid w:val="00220DBE"/>
    <w:rPr>
      <w:rFonts w:ascii="Arial Unicode MS" w:eastAsia="Arial Unicode MS" w:cs="Arial Unicode MS"/>
      <w:sz w:val="14"/>
      <w:szCs w:val="14"/>
    </w:rPr>
  </w:style>
  <w:style w:type="paragraph" w:customStyle="1" w:styleId="Style8">
    <w:name w:val="Style8"/>
    <w:basedOn w:val="Normal"/>
    <w:uiPriority w:val="99"/>
    <w:rsid w:val="00220DBE"/>
    <w:pPr>
      <w:widowControl w:val="0"/>
      <w:autoSpaceDE w:val="0"/>
      <w:autoSpaceDN w:val="0"/>
      <w:adjustRightInd w:val="0"/>
      <w:spacing w:line="224" w:lineRule="exact"/>
      <w:ind w:firstLine="443"/>
      <w:jc w:val="both"/>
    </w:pPr>
    <w:rPr>
      <w:rFonts w:ascii="Arial Unicode MS" w:eastAsia="Arial Unicode MS" w:hAnsiTheme="minorHAnsi" w:cs="Arial Unicode MS"/>
      <w:lang w:eastAsia="lv-LV"/>
    </w:rPr>
  </w:style>
  <w:style w:type="character" w:customStyle="1" w:styleId="FontStyle12">
    <w:name w:val="Font Style12"/>
    <w:basedOn w:val="DefaultParagraphFont"/>
    <w:uiPriority w:val="99"/>
    <w:rsid w:val="00220DBE"/>
    <w:rPr>
      <w:rFonts w:ascii="Arial Unicode MS" w:eastAsia="Arial Unicode MS" w:cs="Arial Unicode MS"/>
      <w:b/>
      <w:bCs/>
      <w:spacing w:val="-20"/>
      <w:sz w:val="22"/>
      <w:szCs w:val="22"/>
    </w:rPr>
  </w:style>
  <w:style w:type="character" w:customStyle="1" w:styleId="FontStyle13">
    <w:name w:val="Font Style13"/>
    <w:basedOn w:val="DefaultParagraphFont"/>
    <w:uiPriority w:val="99"/>
    <w:rsid w:val="00220DBE"/>
    <w:rPr>
      <w:rFonts w:ascii="Arial Unicode MS" w:eastAsia="Arial Unicode MS" w:cs="Arial Unicode MS"/>
      <w:spacing w:val="20"/>
      <w:sz w:val="14"/>
      <w:szCs w:val="14"/>
    </w:rPr>
  </w:style>
  <w:style w:type="character" w:customStyle="1" w:styleId="FontStyle16">
    <w:name w:val="Font Style16"/>
    <w:basedOn w:val="DefaultParagraphFont"/>
    <w:uiPriority w:val="99"/>
    <w:rsid w:val="00220DBE"/>
    <w:rPr>
      <w:rFonts w:ascii="Arial Unicode MS" w:eastAsia="Arial Unicode MS" w:cs="Arial Unicode MS"/>
      <w:i/>
      <w:iCs/>
      <w:spacing w:val="20"/>
      <w:sz w:val="14"/>
      <w:szCs w:val="14"/>
    </w:rPr>
  </w:style>
  <w:style w:type="character" w:customStyle="1" w:styleId="Heading2Char">
    <w:name w:val="Heading 2 Char"/>
    <w:basedOn w:val="DefaultParagraphFont"/>
    <w:link w:val="Heading2"/>
    <w:rsid w:val="003D63C1"/>
    <w:rPr>
      <w:rFonts w:eastAsia="Times New Roman" w:cs="Times New Roman"/>
      <w:b/>
      <w:bCs/>
      <w:sz w:val="32"/>
      <w:szCs w:val="24"/>
    </w:rPr>
  </w:style>
  <w:style w:type="paragraph" w:customStyle="1" w:styleId="Textbody">
    <w:name w:val="Text body"/>
    <w:basedOn w:val="Normal"/>
    <w:rsid w:val="00FF5159"/>
    <w:pPr>
      <w:widowControl w:val="0"/>
      <w:suppressAutoHyphens/>
      <w:autoSpaceDN w:val="0"/>
      <w:spacing w:after="120"/>
      <w:textAlignment w:val="baseline"/>
    </w:pPr>
    <w:rPr>
      <w:rFonts w:eastAsia="Lucida Sans Unicode" w:cs="Tahoma"/>
      <w:kern w:val="3"/>
      <w:lang w:eastAsia="lv-LV"/>
    </w:rPr>
  </w:style>
  <w:style w:type="paragraph" w:styleId="PlainText">
    <w:name w:val="Plain Text"/>
    <w:basedOn w:val="Normal"/>
    <w:link w:val="PlainTextChar"/>
    <w:uiPriority w:val="99"/>
    <w:unhideWhenUsed/>
    <w:rsid w:val="003E6BD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E6BD0"/>
    <w:rPr>
      <w:rFonts w:ascii="Calibri" w:hAnsi="Calibri"/>
      <w:sz w:val="22"/>
      <w:szCs w:val="21"/>
    </w:rPr>
  </w:style>
  <w:style w:type="paragraph" w:styleId="NormalWeb">
    <w:name w:val="Normal (Web)"/>
    <w:basedOn w:val="Normal"/>
    <w:uiPriority w:val="99"/>
    <w:rsid w:val="003E6BD0"/>
    <w:pPr>
      <w:spacing w:before="100" w:beforeAutospacing="1" w:after="100" w:afterAutospacing="1"/>
    </w:pPr>
    <w:rPr>
      <w:lang w:eastAsia="lv-LV"/>
    </w:rPr>
  </w:style>
  <w:style w:type="paragraph" w:styleId="FootnoteText">
    <w:name w:val="footnote text"/>
    <w:basedOn w:val="Normal"/>
    <w:link w:val="FootnoteTextChar"/>
    <w:uiPriority w:val="99"/>
    <w:semiHidden/>
    <w:rsid w:val="005A7995"/>
    <w:pPr>
      <w:jc w:val="both"/>
    </w:pPr>
    <w:rPr>
      <w:sz w:val="20"/>
      <w:szCs w:val="20"/>
    </w:rPr>
  </w:style>
  <w:style w:type="character" w:customStyle="1" w:styleId="FootnoteTextChar">
    <w:name w:val="Footnote Text Char"/>
    <w:basedOn w:val="DefaultParagraphFont"/>
    <w:link w:val="FootnoteText"/>
    <w:uiPriority w:val="99"/>
    <w:semiHidden/>
    <w:rsid w:val="005A7995"/>
    <w:rPr>
      <w:rFonts w:eastAsia="Times New Roman" w:cs="Times New Roman"/>
      <w:sz w:val="20"/>
      <w:szCs w:val="20"/>
    </w:rPr>
  </w:style>
  <w:style w:type="character" w:styleId="FootnoteReference">
    <w:name w:val="footnote reference"/>
    <w:uiPriority w:val="99"/>
    <w:semiHidden/>
    <w:rsid w:val="005A7995"/>
    <w:rPr>
      <w:rFonts w:ascii="Times New Roman" w:hAnsi="Times New Roman"/>
      <w:vertAlign w:val="superscript"/>
    </w:rPr>
  </w:style>
  <w:style w:type="character" w:customStyle="1" w:styleId="UnresolvedMention1">
    <w:name w:val="Unresolved Mention1"/>
    <w:basedOn w:val="DefaultParagraphFont"/>
    <w:uiPriority w:val="99"/>
    <w:semiHidden/>
    <w:unhideWhenUsed/>
    <w:rsid w:val="00FA728D"/>
    <w:rPr>
      <w:color w:val="605E5C"/>
      <w:shd w:val="clear" w:color="auto" w:fill="E1DFDD"/>
    </w:rPr>
  </w:style>
  <w:style w:type="paragraph" w:styleId="Revision">
    <w:name w:val="Revision"/>
    <w:hidden/>
    <w:uiPriority w:val="99"/>
    <w:semiHidden/>
    <w:rsid w:val="00CD41BB"/>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94593">
      <w:bodyDiv w:val="1"/>
      <w:marLeft w:val="0"/>
      <w:marRight w:val="0"/>
      <w:marTop w:val="0"/>
      <w:marBottom w:val="0"/>
      <w:divBdr>
        <w:top w:val="none" w:sz="0" w:space="0" w:color="auto"/>
        <w:left w:val="none" w:sz="0" w:space="0" w:color="auto"/>
        <w:bottom w:val="none" w:sz="0" w:space="0" w:color="auto"/>
        <w:right w:val="none" w:sz="0" w:space="0" w:color="auto"/>
      </w:divBdr>
    </w:div>
    <w:div w:id="111018905">
      <w:bodyDiv w:val="1"/>
      <w:marLeft w:val="0"/>
      <w:marRight w:val="0"/>
      <w:marTop w:val="0"/>
      <w:marBottom w:val="0"/>
      <w:divBdr>
        <w:top w:val="none" w:sz="0" w:space="0" w:color="auto"/>
        <w:left w:val="none" w:sz="0" w:space="0" w:color="auto"/>
        <w:bottom w:val="none" w:sz="0" w:space="0" w:color="auto"/>
        <w:right w:val="none" w:sz="0" w:space="0" w:color="auto"/>
      </w:divBdr>
    </w:div>
    <w:div w:id="162358654">
      <w:bodyDiv w:val="1"/>
      <w:marLeft w:val="0"/>
      <w:marRight w:val="0"/>
      <w:marTop w:val="0"/>
      <w:marBottom w:val="0"/>
      <w:divBdr>
        <w:top w:val="none" w:sz="0" w:space="0" w:color="auto"/>
        <w:left w:val="none" w:sz="0" w:space="0" w:color="auto"/>
        <w:bottom w:val="none" w:sz="0" w:space="0" w:color="auto"/>
        <w:right w:val="none" w:sz="0" w:space="0" w:color="auto"/>
      </w:divBdr>
    </w:div>
    <w:div w:id="227225508">
      <w:bodyDiv w:val="1"/>
      <w:marLeft w:val="0"/>
      <w:marRight w:val="0"/>
      <w:marTop w:val="0"/>
      <w:marBottom w:val="0"/>
      <w:divBdr>
        <w:top w:val="none" w:sz="0" w:space="0" w:color="auto"/>
        <w:left w:val="none" w:sz="0" w:space="0" w:color="auto"/>
        <w:bottom w:val="none" w:sz="0" w:space="0" w:color="auto"/>
        <w:right w:val="none" w:sz="0" w:space="0" w:color="auto"/>
      </w:divBdr>
    </w:div>
    <w:div w:id="342316823">
      <w:bodyDiv w:val="1"/>
      <w:marLeft w:val="0"/>
      <w:marRight w:val="0"/>
      <w:marTop w:val="0"/>
      <w:marBottom w:val="0"/>
      <w:divBdr>
        <w:top w:val="none" w:sz="0" w:space="0" w:color="auto"/>
        <w:left w:val="none" w:sz="0" w:space="0" w:color="auto"/>
        <w:bottom w:val="none" w:sz="0" w:space="0" w:color="auto"/>
        <w:right w:val="none" w:sz="0" w:space="0" w:color="auto"/>
      </w:divBdr>
    </w:div>
    <w:div w:id="377631279">
      <w:bodyDiv w:val="1"/>
      <w:marLeft w:val="0"/>
      <w:marRight w:val="0"/>
      <w:marTop w:val="0"/>
      <w:marBottom w:val="0"/>
      <w:divBdr>
        <w:top w:val="none" w:sz="0" w:space="0" w:color="auto"/>
        <w:left w:val="none" w:sz="0" w:space="0" w:color="auto"/>
        <w:bottom w:val="none" w:sz="0" w:space="0" w:color="auto"/>
        <w:right w:val="none" w:sz="0" w:space="0" w:color="auto"/>
      </w:divBdr>
    </w:div>
    <w:div w:id="419447662">
      <w:bodyDiv w:val="1"/>
      <w:marLeft w:val="0"/>
      <w:marRight w:val="0"/>
      <w:marTop w:val="0"/>
      <w:marBottom w:val="0"/>
      <w:divBdr>
        <w:top w:val="none" w:sz="0" w:space="0" w:color="auto"/>
        <w:left w:val="none" w:sz="0" w:space="0" w:color="auto"/>
        <w:bottom w:val="none" w:sz="0" w:space="0" w:color="auto"/>
        <w:right w:val="none" w:sz="0" w:space="0" w:color="auto"/>
      </w:divBdr>
    </w:div>
    <w:div w:id="444690671">
      <w:bodyDiv w:val="1"/>
      <w:marLeft w:val="0"/>
      <w:marRight w:val="0"/>
      <w:marTop w:val="0"/>
      <w:marBottom w:val="0"/>
      <w:divBdr>
        <w:top w:val="none" w:sz="0" w:space="0" w:color="auto"/>
        <w:left w:val="none" w:sz="0" w:space="0" w:color="auto"/>
        <w:bottom w:val="none" w:sz="0" w:space="0" w:color="auto"/>
        <w:right w:val="none" w:sz="0" w:space="0" w:color="auto"/>
      </w:divBdr>
    </w:div>
    <w:div w:id="654797094">
      <w:bodyDiv w:val="1"/>
      <w:marLeft w:val="0"/>
      <w:marRight w:val="0"/>
      <w:marTop w:val="0"/>
      <w:marBottom w:val="0"/>
      <w:divBdr>
        <w:top w:val="none" w:sz="0" w:space="0" w:color="auto"/>
        <w:left w:val="none" w:sz="0" w:space="0" w:color="auto"/>
        <w:bottom w:val="none" w:sz="0" w:space="0" w:color="auto"/>
        <w:right w:val="none" w:sz="0" w:space="0" w:color="auto"/>
      </w:divBdr>
    </w:div>
    <w:div w:id="807282901">
      <w:bodyDiv w:val="1"/>
      <w:marLeft w:val="0"/>
      <w:marRight w:val="0"/>
      <w:marTop w:val="0"/>
      <w:marBottom w:val="0"/>
      <w:divBdr>
        <w:top w:val="none" w:sz="0" w:space="0" w:color="auto"/>
        <w:left w:val="none" w:sz="0" w:space="0" w:color="auto"/>
        <w:bottom w:val="none" w:sz="0" w:space="0" w:color="auto"/>
        <w:right w:val="none" w:sz="0" w:space="0" w:color="auto"/>
      </w:divBdr>
    </w:div>
    <w:div w:id="849492301">
      <w:bodyDiv w:val="1"/>
      <w:marLeft w:val="0"/>
      <w:marRight w:val="0"/>
      <w:marTop w:val="0"/>
      <w:marBottom w:val="0"/>
      <w:divBdr>
        <w:top w:val="none" w:sz="0" w:space="0" w:color="auto"/>
        <w:left w:val="none" w:sz="0" w:space="0" w:color="auto"/>
        <w:bottom w:val="none" w:sz="0" w:space="0" w:color="auto"/>
        <w:right w:val="none" w:sz="0" w:space="0" w:color="auto"/>
      </w:divBdr>
    </w:div>
    <w:div w:id="1041367633">
      <w:bodyDiv w:val="1"/>
      <w:marLeft w:val="0"/>
      <w:marRight w:val="0"/>
      <w:marTop w:val="0"/>
      <w:marBottom w:val="0"/>
      <w:divBdr>
        <w:top w:val="none" w:sz="0" w:space="0" w:color="auto"/>
        <w:left w:val="none" w:sz="0" w:space="0" w:color="auto"/>
        <w:bottom w:val="none" w:sz="0" w:space="0" w:color="auto"/>
        <w:right w:val="none" w:sz="0" w:space="0" w:color="auto"/>
      </w:divBdr>
    </w:div>
    <w:div w:id="1062486368">
      <w:bodyDiv w:val="1"/>
      <w:marLeft w:val="0"/>
      <w:marRight w:val="0"/>
      <w:marTop w:val="0"/>
      <w:marBottom w:val="0"/>
      <w:divBdr>
        <w:top w:val="none" w:sz="0" w:space="0" w:color="auto"/>
        <w:left w:val="none" w:sz="0" w:space="0" w:color="auto"/>
        <w:bottom w:val="none" w:sz="0" w:space="0" w:color="auto"/>
        <w:right w:val="none" w:sz="0" w:space="0" w:color="auto"/>
      </w:divBdr>
    </w:div>
    <w:div w:id="1175077438">
      <w:bodyDiv w:val="1"/>
      <w:marLeft w:val="0"/>
      <w:marRight w:val="0"/>
      <w:marTop w:val="0"/>
      <w:marBottom w:val="0"/>
      <w:divBdr>
        <w:top w:val="none" w:sz="0" w:space="0" w:color="auto"/>
        <w:left w:val="none" w:sz="0" w:space="0" w:color="auto"/>
        <w:bottom w:val="none" w:sz="0" w:space="0" w:color="auto"/>
        <w:right w:val="none" w:sz="0" w:space="0" w:color="auto"/>
      </w:divBdr>
    </w:div>
    <w:div w:id="1297293997">
      <w:bodyDiv w:val="1"/>
      <w:marLeft w:val="0"/>
      <w:marRight w:val="0"/>
      <w:marTop w:val="0"/>
      <w:marBottom w:val="0"/>
      <w:divBdr>
        <w:top w:val="none" w:sz="0" w:space="0" w:color="auto"/>
        <w:left w:val="none" w:sz="0" w:space="0" w:color="auto"/>
        <w:bottom w:val="none" w:sz="0" w:space="0" w:color="auto"/>
        <w:right w:val="none" w:sz="0" w:space="0" w:color="auto"/>
      </w:divBdr>
    </w:div>
    <w:div w:id="1684740439">
      <w:bodyDiv w:val="1"/>
      <w:marLeft w:val="0"/>
      <w:marRight w:val="0"/>
      <w:marTop w:val="0"/>
      <w:marBottom w:val="0"/>
      <w:divBdr>
        <w:top w:val="none" w:sz="0" w:space="0" w:color="auto"/>
        <w:left w:val="none" w:sz="0" w:space="0" w:color="auto"/>
        <w:bottom w:val="none" w:sz="0" w:space="0" w:color="auto"/>
        <w:right w:val="none" w:sz="0" w:space="0" w:color="auto"/>
      </w:divBdr>
    </w:div>
    <w:div w:id="1893730556">
      <w:bodyDiv w:val="1"/>
      <w:marLeft w:val="0"/>
      <w:marRight w:val="0"/>
      <w:marTop w:val="0"/>
      <w:marBottom w:val="0"/>
      <w:divBdr>
        <w:top w:val="none" w:sz="0" w:space="0" w:color="auto"/>
        <w:left w:val="none" w:sz="0" w:space="0" w:color="auto"/>
        <w:bottom w:val="none" w:sz="0" w:space="0" w:color="auto"/>
        <w:right w:val="none" w:sz="0" w:space="0" w:color="auto"/>
      </w:divBdr>
    </w:div>
    <w:div w:id="1929270571">
      <w:bodyDiv w:val="1"/>
      <w:marLeft w:val="0"/>
      <w:marRight w:val="0"/>
      <w:marTop w:val="0"/>
      <w:marBottom w:val="0"/>
      <w:divBdr>
        <w:top w:val="none" w:sz="0" w:space="0" w:color="auto"/>
        <w:left w:val="none" w:sz="0" w:space="0" w:color="auto"/>
        <w:bottom w:val="none" w:sz="0" w:space="0" w:color="auto"/>
        <w:right w:val="none" w:sz="0" w:space="0" w:color="auto"/>
      </w:divBdr>
    </w:div>
    <w:div w:id="2000574033">
      <w:bodyDiv w:val="1"/>
      <w:marLeft w:val="0"/>
      <w:marRight w:val="0"/>
      <w:marTop w:val="0"/>
      <w:marBottom w:val="0"/>
      <w:divBdr>
        <w:top w:val="none" w:sz="0" w:space="0" w:color="auto"/>
        <w:left w:val="none" w:sz="0" w:space="0" w:color="auto"/>
        <w:bottom w:val="none" w:sz="0" w:space="0" w:color="auto"/>
        <w:right w:val="none" w:sz="0" w:space="0" w:color="auto"/>
      </w:divBdr>
    </w:div>
    <w:div w:id="2089881179">
      <w:bodyDiv w:val="1"/>
      <w:marLeft w:val="0"/>
      <w:marRight w:val="0"/>
      <w:marTop w:val="0"/>
      <w:marBottom w:val="0"/>
      <w:divBdr>
        <w:top w:val="none" w:sz="0" w:space="0" w:color="auto"/>
        <w:left w:val="none" w:sz="0" w:space="0" w:color="auto"/>
        <w:bottom w:val="none" w:sz="0" w:space="0" w:color="auto"/>
        <w:right w:val="none" w:sz="0" w:space="0" w:color="auto"/>
      </w:divBdr>
    </w:div>
    <w:div w:id="2101441878">
      <w:bodyDiv w:val="1"/>
      <w:marLeft w:val="0"/>
      <w:marRight w:val="0"/>
      <w:marTop w:val="0"/>
      <w:marBottom w:val="0"/>
      <w:divBdr>
        <w:top w:val="none" w:sz="0" w:space="0" w:color="auto"/>
        <w:left w:val="none" w:sz="0" w:space="0" w:color="auto"/>
        <w:bottom w:val="none" w:sz="0" w:space="0" w:color="auto"/>
        <w:right w:val="none" w:sz="0" w:space="0" w:color="auto"/>
      </w:divBdr>
    </w:div>
    <w:div w:id="2126922413">
      <w:bodyDiv w:val="1"/>
      <w:marLeft w:val="0"/>
      <w:marRight w:val="0"/>
      <w:marTop w:val="0"/>
      <w:marBottom w:val="0"/>
      <w:divBdr>
        <w:top w:val="none" w:sz="0" w:space="0" w:color="auto"/>
        <w:left w:val="none" w:sz="0" w:space="0" w:color="auto"/>
        <w:bottom w:val="none" w:sz="0" w:space="0" w:color="auto"/>
        <w:right w:val="none" w:sz="0" w:space="0" w:color="auto"/>
      </w:divBdr>
    </w:div>
    <w:div w:id="214218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p.mk.gov.lv/lv/mk/tap/?pid=40476165&amp;mode=mk&amp;date=2019-08-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93895-ACA3-4679-959B-1F87A00A4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12132</Words>
  <Characters>6916</Characters>
  <Application>Microsoft Office Word</Application>
  <DocSecurity>0</DocSecurity>
  <Lines>57</Lines>
  <Paragraphs>38</Paragraphs>
  <ScaleCrop>false</ScaleCrop>
  <HeadingPairs>
    <vt:vector size="2" baseType="variant">
      <vt:variant>
        <vt:lpstr>Title</vt:lpstr>
      </vt:variant>
      <vt:variant>
        <vt:i4>1</vt:i4>
      </vt:variant>
    </vt:vector>
  </HeadingPairs>
  <TitlesOfParts>
    <vt:vector size="1" baseType="lpstr">
      <vt:lpstr>Grozījumi Ministru kabineta 2015.gada 22.septembra noteikumos Nr.537 “Noteikumi par nodokļu maksātāju un nodokļu maksātāju struktūrvienību reģistrāciju Valsts ieņēmumu dienestā”</vt:lpstr>
    </vt:vector>
  </TitlesOfParts>
  <Company>Finanšu ministrija (Valsts ieņemumu dienests)</Company>
  <LinksUpToDate>false</LinksUpToDate>
  <CharactersWithSpaces>19010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2015.gada 22.septembra noteikumos Nr.537 “Noteikumi par nodokļu maksātāju un nodokļu maksātāju struktūrvienību reģistrāciju Valsts ieņēmumu dienestā”</dc:title>
  <dc:subject>Izziņa par atzinumos sniegtajiem iebildumiem</dc:subject>
  <dc:creator>Oksana Hvaleja</dc:creator>
  <dc:description>67122044, Oksana.Hvaleja@vid.gov.lv</dc:description>
  <cp:lastModifiedBy>Laimdota Adlere</cp:lastModifiedBy>
  <cp:revision>2</cp:revision>
  <cp:lastPrinted>2018-02-15T07:22:00Z</cp:lastPrinted>
  <dcterms:created xsi:type="dcterms:W3CDTF">2020-11-23T06:49:00Z</dcterms:created>
  <dcterms:modified xsi:type="dcterms:W3CDTF">2020-11-23T06:49:00Z</dcterms:modified>
</cp:coreProperties>
</file>